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 w:hAnsi="仿宋" w:eastAsia="仿宋" w:cs="仿宋"/>
          <w:sz w:val="32"/>
          <w:szCs w:val="32"/>
        </w:rPr>
      </w:pPr>
      <w:r>
        <w:rPr>
          <w:rFonts w:hint="eastAsia" w:ascii="仿宋" w:hAnsi="仿宋" w:eastAsia="仿宋" w:cs="仿宋"/>
          <w:sz w:val="32"/>
          <w:szCs w:val="32"/>
        </w:rPr>
        <w:t>附件</w:t>
      </w:r>
    </w:p>
    <w:p>
      <w:pPr>
        <w:pStyle w:val="2"/>
        <w:spacing w:before="0" w:beforeAutospacing="0" w:after="0" w:afterAutospacing="0" w:line="620" w:lineRule="exact"/>
        <w:jc w:val="center"/>
        <w:rPr>
          <w:rFonts w:ascii="黑体" w:hAnsi="黑体" w:eastAsia="黑体" w:cs="黑体"/>
          <w:sz w:val="32"/>
          <w:szCs w:val="32"/>
        </w:rPr>
      </w:pPr>
      <w:r>
        <w:rPr>
          <w:rFonts w:hint="eastAsia" w:ascii="黑体" w:hAnsi="黑体" w:eastAsia="黑体" w:cs="黑体"/>
          <w:sz w:val="32"/>
          <w:szCs w:val="32"/>
        </w:rPr>
        <w:t>广西医科大学开展全区高校依法治校达标建设和全国示范校创建工作任务分工表</w:t>
      </w:r>
    </w:p>
    <w:tbl>
      <w:tblPr>
        <w:tblStyle w:val="15"/>
        <w:tblpPr w:leftFromText="180" w:rightFromText="180" w:vertAnchor="text" w:horzAnchor="page" w:tblpXSpec="center" w:tblpY="266"/>
        <w:tblOverlap w:val="never"/>
        <w:tblW w:w="153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705"/>
        <w:gridCol w:w="1559"/>
        <w:gridCol w:w="8221"/>
        <w:gridCol w:w="1418"/>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1417" w:type="dxa"/>
            <w:vAlign w:val="center"/>
          </w:tcPr>
          <w:p>
            <w:pPr>
              <w:pStyle w:val="16"/>
              <w:jc w:val="center"/>
              <w:rPr>
                <w:rFonts w:ascii="黑体" w:hAnsi="黑体" w:eastAsia="黑体" w:cs="黑体"/>
                <w:sz w:val="24"/>
                <w:szCs w:val="24"/>
                <w:lang w:eastAsia="en-US"/>
              </w:rPr>
            </w:pPr>
            <w:r>
              <w:rPr>
                <w:rFonts w:hint="eastAsia" w:ascii="黑体" w:hAnsi="黑体" w:eastAsia="黑体" w:cs="黑体"/>
                <w:sz w:val="24"/>
                <w:szCs w:val="24"/>
                <w:lang w:eastAsia="en-US"/>
              </w:rPr>
              <w:t>一级</w:t>
            </w:r>
          </w:p>
          <w:p>
            <w:pPr>
              <w:pStyle w:val="16"/>
              <w:jc w:val="center"/>
              <w:rPr>
                <w:rFonts w:ascii="黑体" w:hAnsi="黑体" w:eastAsia="黑体" w:cs="黑体"/>
                <w:sz w:val="24"/>
                <w:szCs w:val="24"/>
                <w:lang w:eastAsia="en-US"/>
              </w:rPr>
            </w:pPr>
            <w:r>
              <w:rPr>
                <w:rFonts w:hint="eastAsia" w:ascii="黑体" w:hAnsi="黑体" w:eastAsia="黑体" w:cs="黑体"/>
                <w:sz w:val="24"/>
                <w:szCs w:val="24"/>
                <w:lang w:eastAsia="en-US"/>
              </w:rPr>
              <w:t>指标</w:t>
            </w:r>
          </w:p>
        </w:tc>
        <w:tc>
          <w:tcPr>
            <w:tcW w:w="2264" w:type="dxa"/>
            <w:gridSpan w:val="2"/>
            <w:vAlign w:val="center"/>
          </w:tcPr>
          <w:p>
            <w:pPr>
              <w:pStyle w:val="16"/>
              <w:jc w:val="center"/>
              <w:rPr>
                <w:rFonts w:ascii="黑体" w:hAnsi="黑体" w:eastAsia="黑体" w:cs="黑体"/>
                <w:sz w:val="24"/>
                <w:szCs w:val="24"/>
                <w:lang w:eastAsia="en-US"/>
              </w:rPr>
            </w:pPr>
            <w:r>
              <w:rPr>
                <w:rFonts w:hint="eastAsia" w:ascii="黑体" w:hAnsi="黑体" w:eastAsia="黑体" w:cs="黑体"/>
                <w:sz w:val="24"/>
                <w:szCs w:val="24"/>
                <w:lang w:eastAsia="en-US"/>
              </w:rPr>
              <w:t>二级指标</w:t>
            </w:r>
          </w:p>
        </w:tc>
        <w:tc>
          <w:tcPr>
            <w:tcW w:w="8221" w:type="dxa"/>
            <w:vAlign w:val="center"/>
          </w:tcPr>
          <w:p>
            <w:pPr>
              <w:pStyle w:val="16"/>
              <w:jc w:val="center"/>
              <w:rPr>
                <w:rFonts w:ascii="黑体" w:hAnsi="黑体" w:eastAsia="黑体" w:cs="黑体"/>
                <w:sz w:val="24"/>
                <w:szCs w:val="24"/>
                <w:lang w:eastAsia="en-US"/>
              </w:rPr>
            </w:pPr>
            <w:r>
              <w:rPr>
                <w:rFonts w:hint="eastAsia" w:ascii="黑体" w:hAnsi="黑体" w:eastAsia="黑体" w:cs="黑体"/>
                <w:sz w:val="24"/>
                <w:szCs w:val="24"/>
                <w:lang w:eastAsia="en-US"/>
              </w:rPr>
              <w:t>三级指标（评分点）</w:t>
            </w:r>
          </w:p>
        </w:tc>
        <w:tc>
          <w:tcPr>
            <w:tcW w:w="1418" w:type="dxa"/>
            <w:vAlign w:val="center"/>
          </w:tcPr>
          <w:p>
            <w:pPr>
              <w:pStyle w:val="16"/>
              <w:jc w:val="center"/>
              <w:rPr>
                <w:rFonts w:ascii="黑体" w:hAnsi="黑体" w:eastAsia="黑体" w:cs="黑体"/>
                <w:sz w:val="24"/>
                <w:szCs w:val="24"/>
                <w:lang w:eastAsia="en-US"/>
              </w:rPr>
            </w:pPr>
            <w:r>
              <w:rPr>
                <w:rFonts w:hint="eastAsia" w:ascii="黑体" w:hAnsi="黑体" w:eastAsia="黑体" w:cs="黑体"/>
                <w:sz w:val="24"/>
                <w:szCs w:val="24"/>
                <w:lang w:eastAsia="en-US"/>
              </w:rPr>
              <w:t>上级评估检查方法</w:t>
            </w:r>
          </w:p>
        </w:tc>
        <w:tc>
          <w:tcPr>
            <w:tcW w:w="1984" w:type="dxa"/>
            <w:vAlign w:val="center"/>
          </w:tcPr>
          <w:p>
            <w:pPr>
              <w:pStyle w:val="16"/>
              <w:jc w:val="center"/>
              <w:rPr>
                <w:rFonts w:ascii="黑体" w:hAnsi="黑体" w:eastAsia="黑体" w:cs="黑体"/>
                <w:sz w:val="24"/>
                <w:szCs w:val="24"/>
                <w:lang w:eastAsia="en-US"/>
              </w:rPr>
            </w:pPr>
            <w:r>
              <w:rPr>
                <w:rFonts w:hint="eastAsia" w:ascii="黑体" w:hAnsi="黑体" w:eastAsia="黑体" w:cs="黑体"/>
                <w:sz w:val="24"/>
                <w:szCs w:val="24"/>
                <w:lang w:eastAsia="en-US"/>
              </w:rPr>
              <w:t>责任单位</w:t>
            </w:r>
          </w:p>
          <w:p>
            <w:pPr>
              <w:pStyle w:val="16"/>
              <w:jc w:val="center"/>
              <w:rPr>
                <w:rFonts w:ascii="黑体" w:hAnsi="黑体" w:eastAsia="黑体" w:cs="黑体"/>
                <w:sz w:val="24"/>
                <w:szCs w:val="24"/>
                <w:lang w:eastAsia="en-US"/>
              </w:rPr>
            </w:pPr>
            <w:r>
              <w:rPr>
                <w:rFonts w:hint="eastAsia" w:ascii="黑体" w:hAnsi="黑体" w:eastAsia="黑体" w:cs="黑体"/>
                <w:sz w:val="24"/>
                <w:szCs w:val="24"/>
                <w:lang w:eastAsia="en-US"/>
              </w:rPr>
              <w:t>（涉及多单位的，依职责办理）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1417"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1.领导和工作推动机制</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（18分）</w:t>
            </w: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1.1</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党政主要负责人履行推进法治工作第一责任人职责</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（6分）</w:t>
            </w:r>
          </w:p>
        </w:tc>
        <w:tc>
          <w:tcPr>
            <w:tcW w:w="8221" w:type="dxa"/>
            <w:vAlign w:val="center"/>
          </w:tcPr>
          <w:p>
            <w:pPr>
              <w:pStyle w:val="16"/>
              <w:rPr>
                <w:rFonts w:ascii="仿宋" w:hAnsi="仿宋" w:eastAsia="仿宋" w:cs="仿宋"/>
                <w:sz w:val="24"/>
                <w:szCs w:val="24"/>
                <w:lang w:eastAsia="en-US"/>
              </w:rPr>
            </w:pPr>
            <w:r>
              <w:rPr>
                <w:rFonts w:hint="eastAsia" w:ascii="仿宋" w:hAnsi="仿宋" w:eastAsia="仿宋" w:cs="仿宋"/>
                <w:sz w:val="24"/>
                <w:szCs w:val="24"/>
                <w:lang w:eastAsia="en-US"/>
              </w:rPr>
              <w:t>1.1.1 每年度党政主要负责人主持召开法治专项工作会议，亲自部署、协调、推动法治工作。（2分）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Merge w:val="restart"/>
            <w:tcBorders>
              <w:right w:val="single" w:color="auto" w:sz="4" w:space="0"/>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417" w:type="dxa"/>
            <w:vMerge w:val="continue"/>
            <w:vAlign w:val="center"/>
          </w:tcPr>
          <w:p>
            <w:pPr>
              <w:pStyle w:val="16"/>
              <w:jc w:val="center"/>
              <w:rPr>
                <w:rFonts w:ascii="仿宋" w:hAnsi="仿宋" w:eastAsia="仿宋" w:cs="仿宋"/>
                <w:sz w:val="24"/>
                <w:szCs w:val="24"/>
                <w:lang w:eastAsia="en-US"/>
              </w:rPr>
            </w:pPr>
          </w:p>
        </w:tc>
        <w:tc>
          <w:tcPr>
            <w:tcW w:w="705" w:type="dxa"/>
            <w:vMerge w:val="continue"/>
            <w:vAlign w:val="center"/>
          </w:tcPr>
          <w:p>
            <w:pPr>
              <w:pStyle w:val="16"/>
              <w:jc w:val="center"/>
              <w:rPr>
                <w:rFonts w:ascii="仿宋" w:hAnsi="仿宋" w:eastAsia="仿宋" w:cs="仿宋"/>
                <w:sz w:val="24"/>
                <w:szCs w:val="24"/>
                <w:lang w:eastAsia="en-US"/>
              </w:rPr>
            </w:pPr>
          </w:p>
        </w:tc>
        <w:tc>
          <w:tcPr>
            <w:tcW w:w="1559" w:type="dxa"/>
            <w:vMerge w:val="continue"/>
            <w:vAlign w:val="center"/>
          </w:tcPr>
          <w:p>
            <w:pPr>
              <w:pStyle w:val="16"/>
              <w:jc w:val="center"/>
              <w:rPr>
                <w:rFonts w:ascii="仿宋" w:hAnsi="仿宋" w:eastAsia="仿宋" w:cs="仿宋"/>
                <w:sz w:val="24"/>
                <w:szCs w:val="24"/>
                <w:lang w:eastAsia="en-US"/>
              </w:rPr>
            </w:pPr>
          </w:p>
        </w:tc>
        <w:tc>
          <w:tcPr>
            <w:tcW w:w="8221" w:type="dxa"/>
            <w:vAlign w:val="center"/>
          </w:tcPr>
          <w:p>
            <w:pPr>
              <w:pStyle w:val="16"/>
              <w:rPr>
                <w:rFonts w:ascii="仿宋" w:hAnsi="仿宋" w:eastAsia="仿宋" w:cs="仿宋"/>
                <w:sz w:val="24"/>
                <w:szCs w:val="24"/>
                <w:lang w:eastAsia="en-US"/>
              </w:rPr>
            </w:pPr>
            <w:r>
              <w:rPr>
                <w:rFonts w:hint="eastAsia" w:ascii="仿宋" w:hAnsi="仿宋" w:eastAsia="仿宋" w:cs="仿宋"/>
                <w:sz w:val="24"/>
                <w:szCs w:val="24"/>
                <w:lang w:eastAsia="en-US"/>
              </w:rPr>
              <w:t>1.1.2党委常委会或全委会、校长办公会议年度至少研究1次法治工作并形成会议纪要。（2分，1次1分，2次及以上满分）</w:t>
            </w:r>
          </w:p>
        </w:tc>
        <w:tc>
          <w:tcPr>
            <w:tcW w:w="1418" w:type="dxa"/>
            <w:vMerge w:val="continue"/>
            <w:vAlign w:val="center"/>
          </w:tcPr>
          <w:p>
            <w:pPr>
              <w:pStyle w:val="16"/>
              <w:jc w:val="center"/>
              <w:rPr>
                <w:rFonts w:ascii="仿宋" w:hAnsi="仿宋" w:eastAsia="仿宋" w:cs="仿宋"/>
                <w:sz w:val="24"/>
                <w:szCs w:val="24"/>
                <w:lang w:eastAsia="en-US"/>
              </w:rPr>
            </w:pPr>
          </w:p>
        </w:tc>
        <w:tc>
          <w:tcPr>
            <w:tcW w:w="1984" w:type="dxa"/>
            <w:vMerge w:val="continue"/>
            <w:tcBorders>
              <w:right w:val="single" w:color="auto" w:sz="4" w:space="0"/>
            </w:tcBorders>
            <w:vAlign w:val="center"/>
          </w:tcPr>
          <w:p>
            <w:pPr>
              <w:pStyle w:val="16"/>
              <w:jc w:val="center"/>
              <w:rPr>
                <w:rFonts w:ascii="仿宋" w:hAnsi="仿宋" w:eastAsia="仿宋" w:cs="仿宋"/>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vAlign w:val="center"/>
          </w:tcPr>
          <w:p>
            <w:pPr>
              <w:autoSpaceDE w:val="0"/>
              <w:autoSpaceDN w:val="0"/>
              <w:jc w:val="center"/>
              <w:rPr>
                <w:rFonts w:ascii="仿宋" w:hAnsi="仿宋" w:eastAsia="仿宋" w:cs="仿宋"/>
                <w:sz w:val="24"/>
                <w:lang w:eastAsia="en-US"/>
              </w:rPr>
            </w:pPr>
          </w:p>
        </w:tc>
        <w:tc>
          <w:tcPr>
            <w:tcW w:w="1559" w:type="dxa"/>
            <w:vMerge w:val="continue"/>
            <w:vAlign w:val="center"/>
          </w:tcPr>
          <w:p>
            <w:pPr>
              <w:autoSpaceDE w:val="0"/>
              <w:autoSpaceDN w:val="0"/>
              <w:jc w:val="center"/>
              <w:rPr>
                <w:rFonts w:ascii="仿宋" w:hAnsi="仿宋" w:eastAsia="仿宋" w:cs="仿宋"/>
                <w:sz w:val="24"/>
                <w:lang w:eastAsia="en-US"/>
              </w:rPr>
            </w:pPr>
          </w:p>
        </w:tc>
        <w:tc>
          <w:tcPr>
            <w:tcW w:w="8221" w:type="dxa"/>
            <w:tcBorders>
              <w:bottom w:val="single" w:color="auto" w:sz="4" w:space="0"/>
            </w:tcBorders>
            <w:vAlign w:val="center"/>
          </w:tcPr>
          <w:p>
            <w:pPr>
              <w:pStyle w:val="16"/>
              <w:rPr>
                <w:rFonts w:ascii="仿宋" w:hAnsi="仿宋" w:eastAsia="仿宋" w:cs="仿宋"/>
                <w:sz w:val="24"/>
                <w:szCs w:val="24"/>
                <w:lang w:eastAsia="en-US"/>
              </w:rPr>
            </w:pPr>
            <w:r>
              <w:rPr>
                <w:rFonts w:hint="eastAsia" w:ascii="仿宋" w:hAnsi="仿宋" w:eastAsia="仿宋" w:cs="仿宋"/>
                <w:sz w:val="24"/>
                <w:szCs w:val="24"/>
                <w:lang w:eastAsia="en-US"/>
              </w:rPr>
              <w:t>1.1.3党委理论学习中心组每年至少安排1次学习活动，专题学习习近平法治思想和宪法、民法典、教育法以及与学校管理相关法治知识。（2分，1次1分，1次以上每次加0.5分，最高得2分）</w:t>
            </w:r>
          </w:p>
        </w:tc>
        <w:tc>
          <w:tcPr>
            <w:tcW w:w="1418" w:type="dxa"/>
            <w:vMerge w:val="continue"/>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417" w:type="dxa"/>
            <w:vMerge w:val="continue"/>
            <w:vAlign w:val="center"/>
          </w:tcPr>
          <w:p>
            <w:pPr>
              <w:pStyle w:val="16"/>
              <w:jc w:val="center"/>
              <w:rPr>
                <w:rFonts w:ascii="仿宋" w:hAnsi="仿宋" w:eastAsia="仿宋" w:cs="仿宋"/>
                <w:sz w:val="24"/>
                <w:szCs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1.2</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把法治工作纳入学校整体规划（4分）</w:t>
            </w:r>
          </w:p>
        </w:tc>
        <w:tc>
          <w:tcPr>
            <w:tcW w:w="8221" w:type="dxa"/>
            <w:tcBorders>
              <w:top w:val="single" w:color="auto" w:sz="4" w:space="0"/>
              <w:bottom w:val="single" w:color="auto" w:sz="4" w:space="0"/>
            </w:tcBorders>
            <w:vAlign w:val="center"/>
          </w:tcPr>
          <w:p>
            <w:pPr>
              <w:pStyle w:val="16"/>
              <w:rPr>
                <w:rFonts w:ascii="仿宋" w:hAnsi="仿宋" w:eastAsia="仿宋" w:cs="仿宋"/>
                <w:sz w:val="24"/>
                <w:szCs w:val="24"/>
                <w:lang w:eastAsia="en-US"/>
              </w:rPr>
            </w:pPr>
            <w:r>
              <w:rPr>
                <w:rFonts w:hint="eastAsia" w:ascii="仿宋" w:hAnsi="仿宋" w:eastAsia="仿宋" w:cs="仿宋"/>
                <w:sz w:val="24"/>
                <w:szCs w:val="24"/>
                <w:lang w:eastAsia="en-US"/>
              </w:rPr>
              <w:t>1.2.1 制定学校加强法治工作推进依法治校整体工作方案或者落实《教育部关于进一步加强高等学校法治工作的意见》的实施办法。（2分）</w:t>
            </w:r>
          </w:p>
        </w:tc>
        <w:tc>
          <w:tcPr>
            <w:tcW w:w="1418" w:type="dxa"/>
            <w:tcBorders>
              <w:bottom w:val="single" w:color="auto" w:sz="4" w:space="0"/>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w:t>
            </w:r>
          </w:p>
        </w:tc>
        <w:tc>
          <w:tcPr>
            <w:tcW w:w="1984" w:type="dxa"/>
            <w:tcBorders>
              <w:bottom w:val="single" w:color="auto" w:sz="4" w:space="0"/>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宣传部（普法办）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1417" w:type="dxa"/>
            <w:vMerge w:val="continue"/>
            <w:vAlign w:val="center"/>
          </w:tcPr>
          <w:p>
            <w:pPr>
              <w:pStyle w:val="16"/>
              <w:jc w:val="center"/>
              <w:rPr>
                <w:rFonts w:ascii="仿宋" w:hAnsi="仿宋" w:eastAsia="仿宋" w:cs="仿宋"/>
                <w:sz w:val="24"/>
                <w:szCs w:val="24"/>
                <w:lang w:eastAsia="en-US"/>
              </w:rPr>
            </w:pPr>
          </w:p>
        </w:tc>
        <w:tc>
          <w:tcPr>
            <w:tcW w:w="705" w:type="dxa"/>
            <w:vMerge w:val="continue"/>
            <w:vAlign w:val="center"/>
          </w:tcPr>
          <w:p>
            <w:pPr>
              <w:pStyle w:val="16"/>
              <w:jc w:val="center"/>
              <w:rPr>
                <w:rFonts w:ascii="仿宋" w:hAnsi="仿宋" w:eastAsia="仿宋" w:cs="仿宋"/>
                <w:sz w:val="24"/>
                <w:szCs w:val="24"/>
                <w:lang w:eastAsia="en-US"/>
              </w:rPr>
            </w:pPr>
          </w:p>
        </w:tc>
        <w:tc>
          <w:tcPr>
            <w:tcW w:w="1559" w:type="dxa"/>
            <w:vMerge w:val="continue"/>
            <w:vAlign w:val="center"/>
          </w:tcPr>
          <w:p>
            <w:pPr>
              <w:pStyle w:val="16"/>
              <w:jc w:val="center"/>
              <w:rPr>
                <w:rFonts w:ascii="仿宋" w:hAnsi="仿宋" w:eastAsia="仿宋" w:cs="仿宋"/>
                <w:sz w:val="24"/>
                <w:szCs w:val="24"/>
                <w:lang w:eastAsia="en-US"/>
              </w:rPr>
            </w:pPr>
          </w:p>
        </w:tc>
        <w:tc>
          <w:tcPr>
            <w:tcW w:w="8221" w:type="dxa"/>
            <w:tcBorders>
              <w:top w:val="single" w:color="auto" w:sz="4" w:space="0"/>
            </w:tcBorders>
            <w:vAlign w:val="center"/>
          </w:tcPr>
          <w:p>
            <w:pPr>
              <w:pStyle w:val="16"/>
              <w:rPr>
                <w:rFonts w:ascii="仿宋" w:hAnsi="仿宋" w:eastAsia="仿宋" w:cs="仿宋"/>
                <w:sz w:val="24"/>
                <w:szCs w:val="24"/>
                <w:lang w:eastAsia="en-US"/>
              </w:rPr>
            </w:pPr>
            <w:r>
              <w:rPr>
                <w:rFonts w:hint="eastAsia" w:ascii="仿宋" w:hAnsi="仿宋" w:eastAsia="仿宋" w:cs="仿宋"/>
                <w:sz w:val="24"/>
                <w:szCs w:val="24"/>
                <w:lang w:eastAsia="en-US"/>
              </w:rPr>
              <w:t>1.2.2法治工作纳入学校中长期规划和年度计划。（2分）</w:t>
            </w:r>
          </w:p>
        </w:tc>
        <w:tc>
          <w:tcPr>
            <w:tcW w:w="1418" w:type="dxa"/>
            <w:tcBorders>
              <w:top w:val="single" w:color="auto" w:sz="4" w:space="0"/>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座谈或问卷调查</w:t>
            </w:r>
          </w:p>
        </w:tc>
        <w:tc>
          <w:tcPr>
            <w:tcW w:w="1984" w:type="dxa"/>
            <w:tcBorders>
              <w:top w:val="single" w:color="auto" w:sz="4" w:space="0"/>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宣传部（普法办）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发展规划处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1.3</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校领导分管法治工作（2分）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1.3.1 学校法治工作有专门的领导分管（1分）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color w:val="auto"/>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1.3.2分管领导参加过专门法治培训，熟悉、了解法治工作的目标要求</w:t>
            </w:r>
          </w:p>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bidi="zh-CN"/>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1.4</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领导干部法治考评（4分）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1.4.1 领导班子及主要负责人在年度考核述职中对法治学习、依法决策、依法履职等情况进行专门报告。（2分）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1.4.2将法治观念和法治素养纳入干部考核内容（1分）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bidi="zh-CN"/>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1.4.3考察、任用干部过程中对其遵守法律、依法办事的情况有考核</w:t>
            </w:r>
          </w:p>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bidi="zh-CN"/>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1.5</w:t>
            </w:r>
          </w:p>
        </w:tc>
        <w:tc>
          <w:tcPr>
            <w:tcW w:w="1559"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加强对部门的法治工作考核</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1.5.1法治工作考核作为部门综合考核指标之一，有标准和办法</w:t>
            </w:r>
          </w:p>
        </w:tc>
        <w:tc>
          <w:tcPr>
            <w:tcW w:w="1418"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人事处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1.6</w:t>
            </w:r>
          </w:p>
        </w:tc>
        <w:tc>
          <w:tcPr>
            <w:tcW w:w="1559"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建立学校法治工作报告制度</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1.6.1法治工作情况作为学校年度工作的专项内容，向教职工代表大会进行报告，并报送主管部门</w:t>
            </w:r>
          </w:p>
        </w:tc>
        <w:tc>
          <w:tcPr>
            <w:tcW w:w="1418"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校工会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17" w:type="dxa"/>
            <w:vMerge w:val="restart"/>
            <w:vAlign w:val="center"/>
          </w:tcPr>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2.规章制度建设</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（15分）</w:t>
            </w: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2.规章制度建设</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（15分）</w:t>
            </w:r>
          </w:p>
          <w:p>
            <w:pPr>
              <w:pStyle w:val="16"/>
              <w:jc w:val="center"/>
              <w:rPr>
                <w:rFonts w:ascii="仿宋" w:hAnsi="仿宋" w:eastAsia="仿宋" w:cs="仿宋"/>
                <w:sz w:val="24"/>
                <w:szCs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2.1</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推进学校章程的学习宣传</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2.1.1 在学校网站显著位置公布章程。（0.5分）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发展规划处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2.1.2在校内开展过章程宣传活动，教职工入职培训、学生入学教育包含有章程内容。（1.5分）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发展规划处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宣传部</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教师工作部</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人事处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学工部</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研究生院</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玉林校区</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2.1.3 学校有解释章程的程序（1分）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rPr>
              <w:t>发展规划处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2.2</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利用章程修订完善，推进制度创新（2分）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2.2.1 学校新出台的管理制度或重大工作举措未违反章程的相关规定</w:t>
            </w:r>
          </w:p>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发展规划处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各职能部门</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2.2.2学校章程中有结合实际体现学校特点、特色的创新性规定，引领、支持学校制度创新（1分）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rPr>
              <w:t>发展规划处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2.3</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形成以章程为核心的学校规章制度体系（5分）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2.3.1学校规章制度运行高效、章程发挥核心作用，章程中的原则规定有具体规定落实（1分）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color w:val="auto"/>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发展规划处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各职能部门</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2.3.2学校办学管理的各主要领域，都有完备的制度规定（1分）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发展规划处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各职能部门</w:t>
            </w:r>
          </w:p>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2.3.3编制发布现行有效文件清单。学校规章制度汇编层次清晰，分类科学。（2分）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党办、校办</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发展规划处</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2.3.4 学生管理规定、处分办法等按规定向主管部门备案，与法律法规规章及学校章程规定不冲突（1分）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党办、校办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学工部</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研究生院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国教院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高职院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继教院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护理学院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玉林校区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417"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val="en-US" w:eastAsia="en-US"/>
              </w:rPr>
              <w:t>2.</w:t>
            </w:r>
            <w:r>
              <w:rPr>
                <w:rFonts w:hint="eastAsia" w:ascii="仿宋" w:hAnsi="仿宋" w:eastAsia="仿宋" w:cs="仿宋"/>
                <w:sz w:val="24"/>
                <w:szCs w:val="24"/>
                <w:lang w:eastAsia="en-US"/>
              </w:rPr>
              <w:t>规章制度建设</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（15分）</w:t>
            </w: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2.4</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健全校内规范性文件管理机制（3分）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2.4.1已制定规范性文件管理办法，起草、审查、发布程序健全（1分）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2.4.2规范性文件合法性审查的范围和办法明确，做到应审查尽审查</w:t>
            </w:r>
          </w:p>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bidi="zh-CN"/>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2.4.3规范性文件定期清理，及时对规范性文件进行废改立释（1分）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发展规划处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各职能部门</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2.5</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推动校内规范性文件管理信息化和公开化</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2.5.1 建立校内规范性文件公开发布机制（1分）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2.5.2设有规范性文件信息化管理平台，师生可以便捷查询（1分）</w:t>
            </w:r>
          </w:p>
        </w:tc>
        <w:tc>
          <w:tcPr>
            <w:tcW w:w="1418" w:type="dxa"/>
            <w:vMerge w:val="continue"/>
            <w:tcBorders>
              <w:top w:val="nil"/>
            </w:tcBorders>
            <w:vAlign w:val="center"/>
          </w:tcPr>
          <w:p>
            <w:pPr>
              <w:pStyle w:val="16"/>
              <w:jc w:val="center"/>
              <w:rPr>
                <w:rFonts w:ascii="仿宋" w:hAnsi="仿宋" w:eastAsia="仿宋" w:cs="仿宋"/>
                <w:sz w:val="24"/>
                <w:szCs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bidi="zh-CN"/>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1417" w:type="dxa"/>
            <w:vMerge w:val="restart"/>
            <w:vAlign w:val="center"/>
          </w:tcPr>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val="en-US" w:eastAsia="en-US"/>
              </w:rPr>
            </w:pPr>
          </w:p>
          <w:p>
            <w:pPr>
              <w:pStyle w:val="16"/>
              <w:jc w:val="center"/>
              <w:rPr>
                <w:rFonts w:ascii="仿宋" w:hAnsi="仿宋" w:eastAsia="仿宋" w:cs="仿宋"/>
                <w:sz w:val="24"/>
                <w:szCs w:val="24"/>
                <w:lang w:eastAsia="en-US"/>
              </w:rPr>
            </w:pPr>
            <w:r>
              <w:rPr>
                <w:rFonts w:hint="eastAsia" w:ascii="仿宋" w:hAnsi="仿宋" w:eastAsia="仿宋" w:cs="仿宋"/>
                <w:sz w:val="24"/>
                <w:szCs w:val="24"/>
                <w:lang w:val="en-US" w:eastAsia="en-US"/>
              </w:rPr>
              <w:t>3.</w:t>
            </w:r>
            <w:r>
              <w:rPr>
                <w:rFonts w:hint="eastAsia" w:ascii="仿宋" w:hAnsi="仿宋" w:eastAsia="仿宋" w:cs="仿宋"/>
                <w:sz w:val="24"/>
                <w:szCs w:val="24"/>
                <w:lang w:eastAsia="en-US"/>
              </w:rPr>
              <w:t>内部治理结构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（17分）</w:t>
            </w: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r>
              <w:rPr>
                <w:rFonts w:hint="eastAsia" w:ascii="仿宋" w:hAnsi="仿宋" w:eastAsia="仿宋" w:cs="仿宋"/>
                <w:sz w:val="24"/>
                <w:szCs w:val="24"/>
                <w:lang w:val="en-US" w:eastAsia="en-US"/>
              </w:rPr>
              <w:t>3.</w:t>
            </w:r>
            <w:r>
              <w:rPr>
                <w:rFonts w:hint="eastAsia" w:ascii="仿宋" w:hAnsi="仿宋" w:eastAsia="仿宋" w:cs="仿宋"/>
                <w:sz w:val="24"/>
                <w:szCs w:val="24"/>
                <w:lang w:eastAsia="en-US"/>
              </w:rPr>
              <w:t>内部治理结构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（17分）</w:t>
            </w:r>
          </w:p>
          <w:p>
            <w:pPr>
              <w:pStyle w:val="16"/>
              <w:jc w:val="center"/>
              <w:rPr>
                <w:rFonts w:ascii="仿宋" w:hAnsi="仿宋" w:eastAsia="仿宋" w:cs="仿宋"/>
                <w:sz w:val="24"/>
                <w:szCs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3.1</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落实重大决策程序要求</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（4分）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3.1.1学校党委常委会或全委会、校长办公会等议事规程健全，议事范围明确（1分）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vAlign w:val="center"/>
          </w:tcPr>
          <w:p>
            <w:pPr>
              <w:autoSpaceDE w:val="0"/>
              <w:autoSpaceDN w:val="0"/>
              <w:jc w:val="center"/>
              <w:rPr>
                <w:rFonts w:ascii="仿宋" w:hAnsi="仿宋" w:eastAsia="仿宋" w:cs="仿宋"/>
                <w:sz w:val="24"/>
                <w:lang w:eastAsia="en-US"/>
              </w:rPr>
            </w:pPr>
          </w:p>
        </w:tc>
        <w:tc>
          <w:tcPr>
            <w:tcW w:w="1559" w:type="dxa"/>
            <w:vMerge w:val="continue"/>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3.1.2重大决策经过专家论证、风险评估、合法性审查、师生参与等程序（1分）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各职能部门</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417" w:type="dxa"/>
            <w:vMerge w:val="continue"/>
            <w:vAlign w:val="center"/>
          </w:tcPr>
          <w:p>
            <w:pPr>
              <w:pStyle w:val="16"/>
              <w:rPr>
                <w:rFonts w:ascii="仿宋" w:hAnsi="仿宋" w:eastAsia="仿宋" w:cs="仿宋"/>
                <w:sz w:val="24"/>
                <w:szCs w:val="24"/>
                <w:lang w:eastAsia="en-US"/>
              </w:rPr>
            </w:pPr>
          </w:p>
        </w:tc>
        <w:tc>
          <w:tcPr>
            <w:tcW w:w="705" w:type="dxa"/>
            <w:vMerge w:val="continue"/>
            <w:vAlign w:val="center"/>
          </w:tcPr>
          <w:p>
            <w:pPr>
              <w:pStyle w:val="16"/>
              <w:jc w:val="center"/>
              <w:rPr>
                <w:rFonts w:ascii="仿宋" w:hAnsi="仿宋" w:eastAsia="仿宋" w:cs="仿宋"/>
                <w:sz w:val="24"/>
                <w:szCs w:val="24"/>
                <w:lang w:eastAsia="en-US"/>
              </w:rPr>
            </w:pPr>
          </w:p>
        </w:tc>
        <w:tc>
          <w:tcPr>
            <w:tcW w:w="1559" w:type="dxa"/>
            <w:vMerge w:val="continue"/>
            <w:vAlign w:val="center"/>
          </w:tcPr>
          <w:p>
            <w:pPr>
              <w:pStyle w:val="16"/>
              <w:jc w:val="center"/>
              <w:rPr>
                <w:rFonts w:ascii="仿宋" w:hAnsi="仿宋" w:eastAsia="仿宋" w:cs="仿宋"/>
                <w:sz w:val="24"/>
                <w:szCs w:val="24"/>
                <w:lang w:eastAsia="en-US"/>
              </w:rPr>
            </w:pPr>
          </w:p>
        </w:tc>
        <w:tc>
          <w:tcPr>
            <w:tcW w:w="8221" w:type="dxa"/>
            <w:tcBorders>
              <w:bottom w:val="single" w:color="auto" w:sz="4" w:space="0"/>
            </w:tcBorders>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3.1.3涉及学校社会参与、对外合作等方面的重大事项，在决策前均开展征询意见或者建议活动（1分）</w:t>
            </w:r>
          </w:p>
        </w:tc>
        <w:tc>
          <w:tcPr>
            <w:tcW w:w="1418" w:type="dxa"/>
            <w:vMerge w:val="restart"/>
            <w:tcBorders>
              <w:bottom w:val="single" w:color="auto" w:sz="4" w:space="0"/>
            </w:tcBorders>
          </w:tcPr>
          <w:p>
            <w:pPr>
              <w:pStyle w:val="16"/>
              <w:jc w:val="center"/>
              <w:rPr>
                <w:rFonts w:ascii="仿宋" w:hAnsi="仿宋" w:eastAsia="仿宋" w:cs="仿宋"/>
                <w:sz w:val="24"/>
                <w:szCs w:val="24"/>
                <w:lang w:eastAsia="en-US"/>
              </w:rPr>
            </w:pPr>
          </w:p>
        </w:tc>
        <w:tc>
          <w:tcPr>
            <w:tcW w:w="1984" w:type="dxa"/>
            <w:tcBorders>
              <w:bottom w:val="single" w:color="auto" w:sz="4" w:space="0"/>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各职能部门</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vAlign w:val="center"/>
          </w:tcPr>
          <w:p>
            <w:pPr>
              <w:autoSpaceDE w:val="0"/>
              <w:autoSpaceDN w:val="0"/>
              <w:jc w:val="center"/>
              <w:rPr>
                <w:rFonts w:ascii="仿宋" w:hAnsi="仿宋" w:eastAsia="仿宋" w:cs="仿宋"/>
                <w:sz w:val="24"/>
                <w:lang w:eastAsia="en-US"/>
              </w:rPr>
            </w:pPr>
          </w:p>
        </w:tc>
        <w:tc>
          <w:tcPr>
            <w:tcW w:w="1559" w:type="dxa"/>
            <w:vMerge w:val="continue"/>
            <w:vAlign w:val="center"/>
          </w:tcPr>
          <w:p>
            <w:pPr>
              <w:autoSpaceDE w:val="0"/>
              <w:autoSpaceDN w:val="0"/>
              <w:jc w:val="center"/>
              <w:rPr>
                <w:rFonts w:ascii="仿宋" w:hAnsi="仿宋" w:eastAsia="仿宋" w:cs="仿宋"/>
                <w:sz w:val="24"/>
                <w:lang w:eastAsia="en-US"/>
              </w:rPr>
            </w:pPr>
          </w:p>
        </w:tc>
        <w:tc>
          <w:tcPr>
            <w:tcW w:w="8221" w:type="dxa"/>
            <w:tcBorders>
              <w:top w:val="single" w:color="auto" w:sz="4" w:space="0"/>
            </w:tcBorders>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3.1.4涉及师生利益的重大决策，有听取师生意见、师生参与决策会议的机制（1分）</w:t>
            </w:r>
          </w:p>
        </w:tc>
        <w:tc>
          <w:tcPr>
            <w:tcW w:w="1418" w:type="dxa"/>
            <w:vMerge w:val="continue"/>
            <w:tcBorders>
              <w:top w:val="single" w:color="auto" w:sz="4" w:space="0"/>
            </w:tcBorders>
          </w:tcPr>
          <w:p>
            <w:pPr>
              <w:autoSpaceDE w:val="0"/>
              <w:autoSpaceDN w:val="0"/>
              <w:jc w:val="center"/>
              <w:rPr>
                <w:rFonts w:ascii="仿宋" w:hAnsi="仿宋" w:eastAsia="仿宋" w:cs="仿宋"/>
                <w:sz w:val="24"/>
                <w:lang w:eastAsia="en-US"/>
              </w:rPr>
            </w:pPr>
          </w:p>
        </w:tc>
        <w:tc>
          <w:tcPr>
            <w:tcW w:w="1984" w:type="dxa"/>
            <w:tcBorders>
              <w:top w:val="single" w:color="auto" w:sz="4" w:space="0"/>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教师工作部</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学工部</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研究生工作部</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发展规划处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教务处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教评中心</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工会</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国教院</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高职院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继教院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护理学院</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val="zh-CN" w:eastAsia="en-US" w:bidi="zh-CN"/>
              </w:rPr>
              <w:t>玉林校区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3.2</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校院治理体系</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（4分）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3.2.1学校治理体系清晰，校、院两级职权关系有制度规则予以明确</w:t>
            </w:r>
          </w:p>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1418" w:type="dxa"/>
            <w:vMerge w:val="restart"/>
            <w:vAlign w:val="center"/>
          </w:tcPr>
          <w:p>
            <w:pPr>
              <w:pStyle w:val="16"/>
              <w:jc w:val="center"/>
              <w:rPr>
                <w:rFonts w:ascii="仿宋" w:hAnsi="仿宋" w:eastAsia="仿宋" w:cs="仿宋"/>
                <w:color w:val="auto"/>
                <w:sz w:val="24"/>
                <w:szCs w:val="24"/>
                <w:lang w:eastAsia="en-US"/>
              </w:rPr>
            </w:pPr>
            <w:r>
              <w:rPr>
                <w:rFonts w:hint="eastAsia" w:ascii="仿宋" w:hAnsi="仿宋" w:eastAsia="仿宋" w:cs="仿宋"/>
                <w:color w:val="auto"/>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发展规划处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3.2.2院、系等基层单位自主管理的职责权限明确，决策机制健全。</w:t>
            </w:r>
          </w:p>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（2分）</w:t>
            </w:r>
          </w:p>
        </w:tc>
        <w:tc>
          <w:tcPr>
            <w:tcW w:w="1418" w:type="dxa"/>
            <w:vMerge w:val="continue"/>
            <w:tcBorders>
              <w:top w:val="nil"/>
            </w:tcBorders>
          </w:tcPr>
          <w:p>
            <w:pPr>
              <w:autoSpaceDE w:val="0"/>
              <w:autoSpaceDN w:val="0"/>
              <w:jc w:val="center"/>
              <w:rPr>
                <w:rFonts w:ascii="仿宋" w:hAnsi="仿宋" w:eastAsia="仿宋" w:cs="仿宋"/>
                <w:color w:val="auto"/>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3.2.3学校内设机构、职能处室职责明确或者有权责清单（1分）</w:t>
            </w:r>
          </w:p>
        </w:tc>
        <w:tc>
          <w:tcPr>
            <w:tcW w:w="1418" w:type="dxa"/>
            <w:vMerge w:val="continue"/>
            <w:tcBorders>
              <w:top w:val="nil"/>
            </w:tcBorders>
          </w:tcPr>
          <w:p>
            <w:pPr>
              <w:autoSpaceDE w:val="0"/>
              <w:autoSpaceDN w:val="0"/>
              <w:jc w:val="center"/>
              <w:rPr>
                <w:rFonts w:ascii="仿宋" w:hAnsi="仿宋" w:eastAsia="仿宋" w:cs="仿宋"/>
                <w:color w:val="auto"/>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3.3</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法治工作机构及其负责人参与学校决策（3分）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3.3.1建立法治机构负责人参加（列席）学校决策会议的工作机制（1分）</w:t>
            </w:r>
          </w:p>
        </w:tc>
        <w:tc>
          <w:tcPr>
            <w:tcW w:w="1418" w:type="dxa"/>
            <w:vMerge w:val="restart"/>
            <w:vAlign w:val="center"/>
          </w:tcPr>
          <w:p>
            <w:pPr>
              <w:pStyle w:val="16"/>
              <w:jc w:val="center"/>
              <w:rPr>
                <w:rFonts w:ascii="仿宋" w:hAnsi="仿宋" w:eastAsia="仿宋" w:cs="仿宋"/>
                <w:color w:val="auto"/>
                <w:sz w:val="24"/>
                <w:szCs w:val="24"/>
                <w:lang w:eastAsia="en-US"/>
              </w:rPr>
            </w:pPr>
            <w:r>
              <w:rPr>
                <w:rFonts w:hint="eastAsia" w:ascii="仿宋" w:hAnsi="仿宋" w:eastAsia="仿宋" w:cs="仿宋"/>
                <w:color w:val="auto"/>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3.3.2 法治机构负责人在决策会议上有独立发表法律意见的权利（1分）</w:t>
            </w:r>
          </w:p>
        </w:tc>
        <w:tc>
          <w:tcPr>
            <w:tcW w:w="1418" w:type="dxa"/>
            <w:vMerge w:val="continue"/>
            <w:tcBorders>
              <w:top w:val="nil"/>
            </w:tcBorders>
            <w:vAlign w:val="center"/>
          </w:tcPr>
          <w:p>
            <w:pPr>
              <w:autoSpaceDE w:val="0"/>
              <w:autoSpaceDN w:val="0"/>
              <w:jc w:val="center"/>
              <w:rPr>
                <w:rFonts w:ascii="仿宋" w:hAnsi="仿宋" w:eastAsia="仿宋" w:cs="仿宋"/>
                <w:color w:val="auto"/>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3.3.3 法治机构或者其负责人意见记入文件起草说明或者决策会议纪要、会议记录（1分）</w:t>
            </w:r>
          </w:p>
        </w:tc>
        <w:tc>
          <w:tcPr>
            <w:tcW w:w="1418" w:type="dxa"/>
            <w:vMerge w:val="continue"/>
            <w:tcBorders>
              <w:top w:val="nil"/>
            </w:tcBorders>
            <w:vAlign w:val="center"/>
          </w:tcPr>
          <w:p>
            <w:pPr>
              <w:autoSpaceDE w:val="0"/>
              <w:autoSpaceDN w:val="0"/>
              <w:jc w:val="center"/>
              <w:rPr>
                <w:rFonts w:ascii="仿宋" w:hAnsi="仿宋" w:eastAsia="仿宋" w:cs="仿宋"/>
                <w:color w:val="auto"/>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jc w:val="center"/>
        </w:trPr>
        <w:tc>
          <w:tcPr>
            <w:tcW w:w="1417" w:type="dxa"/>
            <w:vMerge w:val="restart"/>
            <w:vAlign w:val="center"/>
          </w:tcPr>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3.内部治理结构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（17分）</w:t>
            </w: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3.4</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健全学术规范和学术委员会运行机制（3分）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3.4.1按照《高等学校学术委员会规程》组建学术委员会，并制定章程和议事规则（1分）</w:t>
            </w:r>
          </w:p>
        </w:tc>
        <w:tc>
          <w:tcPr>
            <w:tcW w:w="1418" w:type="dxa"/>
            <w:vMerge w:val="restart"/>
            <w:vAlign w:val="center"/>
          </w:tcPr>
          <w:p>
            <w:pPr>
              <w:pStyle w:val="16"/>
              <w:jc w:val="center"/>
              <w:rPr>
                <w:rFonts w:ascii="仿宋" w:hAnsi="仿宋" w:eastAsia="仿宋" w:cs="仿宋"/>
                <w:color w:val="auto"/>
                <w:sz w:val="24"/>
                <w:szCs w:val="24"/>
                <w:lang w:eastAsia="en-US"/>
              </w:rPr>
            </w:pPr>
            <w:r>
              <w:rPr>
                <w:rFonts w:hint="eastAsia" w:ascii="仿宋" w:hAnsi="仿宋" w:eastAsia="仿宋" w:cs="仿宋"/>
                <w:color w:val="auto"/>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科技处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3.4.2 校学术委员会及院系学术委员会在学术事项上能够发挥决策、审议、评定和咨询等职权（1分）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科技处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各二级学院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3.4.3 建立学术争议和学术不端处理机制（1分）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bidi="zh-CN"/>
              </w:rPr>
              <w:t>科技处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3.5</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健全民主参与机制（2分）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3.5.1 依法完善建立教职工代表大会制度，定期召开会议，职权清晰。涉及教职工切身利益的事项依法经教职工代表大会讨论通过（1分）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校工会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pStyle w:val="16"/>
              <w:jc w:val="center"/>
              <w:rPr>
                <w:rFonts w:ascii="仿宋" w:hAnsi="仿宋" w:eastAsia="仿宋" w:cs="仿宋"/>
                <w:sz w:val="24"/>
                <w:szCs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3.5.2健全学生代表大会制度，有学校领导与学生对话听取学生意见的机制</w:t>
            </w:r>
          </w:p>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校团委</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学工部</w:t>
            </w:r>
          </w:p>
          <w:p>
            <w:pPr>
              <w:autoSpaceDE w:val="0"/>
              <w:autoSpaceDN w:val="0"/>
              <w:ind w:firstLine="235" w:firstLineChars="98"/>
              <w:jc w:val="center"/>
              <w:rPr>
                <w:rFonts w:ascii="仿宋" w:hAnsi="仿宋" w:eastAsia="仿宋" w:cs="仿宋"/>
                <w:sz w:val="24"/>
                <w:lang w:eastAsia="en-US" w:bidi="zh-CN"/>
              </w:rPr>
            </w:pPr>
            <w:r>
              <w:rPr>
                <w:rFonts w:hint="eastAsia" w:ascii="仿宋" w:hAnsi="仿宋" w:eastAsia="仿宋" w:cs="仿宋"/>
                <w:sz w:val="24"/>
                <w:lang w:eastAsia="en-US" w:bidi="zh-CN"/>
              </w:rPr>
              <w:t>研究生工作部</w:t>
            </w:r>
          </w:p>
          <w:p>
            <w:pPr>
              <w:autoSpaceDE w:val="0"/>
              <w:autoSpaceDN w:val="0"/>
              <w:ind w:firstLine="235" w:firstLineChars="98"/>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国教院</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高职院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继教院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护理学院</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val="zh-CN" w:eastAsia="en-US" w:bidi="zh-CN"/>
              </w:rPr>
              <w:t>玉林校区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3.6</w:t>
            </w:r>
          </w:p>
        </w:tc>
        <w:tc>
          <w:tcPr>
            <w:tcW w:w="1559"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健全信息公开机制（1分）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3.6.1有部门和工作人员负责学校的信息公开工作，学校信息依法公开</w:t>
            </w:r>
          </w:p>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（1分）</w:t>
            </w:r>
          </w:p>
        </w:tc>
        <w:tc>
          <w:tcPr>
            <w:tcW w:w="1418"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1417" w:type="dxa"/>
            <w:vMerge w:val="restart"/>
            <w:vAlign w:val="center"/>
          </w:tcPr>
          <w:p>
            <w:pPr>
              <w:pStyle w:val="16"/>
              <w:rPr>
                <w:rFonts w:ascii="仿宋" w:hAnsi="仿宋" w:eastAsia="仿宋" w:cs="仿宋"/>
                <w:sz w:val="24"/>
                <w:szCs w:val="24"/>
                <w:lang w:eastAsia="en-US"/>
              </w:rPr>
            </w:pPr>
            <w:r>
              <w:rPr>
                <w:rFonts w:hint="eastAsia" w:ascii="仿宋" w:hAnsi="仿宋" w:eastAsia="仿宋" w:cs="仿宋"/>
                <w:sz w:val="24"/>
                <w:szCs w:val="24"/>
                <w:lang w:eastAsia="en-US"/>
              </w:rPr>
              <w:t>4.法律风险防控（8分）</w:t>
            </w: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4.1</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健全合同管理制度，加强对外签署合同的审查（3分）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4.1.1制定合同管理办法，明确合同管理的主管部门和审核程序（1分）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财务处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国资处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审计处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产业办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教务处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后勤基建处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人事处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国交处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继教院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4.1.2合同管理实现分层分类，重大合同由法治工作机构进行合法性审查（1分）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vMerge w:val="continue"/>
          </w:tcPr>
          <w:p>
            <w:pPr>
              <w:autoSpaceDE w:val="0"/>
              <w:autoSpaceDN w:val="0"/>
              <w:jc w:val="center"/>
              <w:rPr>
                <w:rFonts w:ascii="仿宋" w:hAnsi="仿宋" w:eastAsia="仿宋" w:cs="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4.1.3 建立学校合同管理信息化平台（1分）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vMerge w:val="continue"/>
          </w:tcPr>
          <w:p>
            <w:pPr>
              <w:autoSpaceDE w:val="0"/>
              <w:autoSpaceDN w:val="0"/>
              <w:jc w:val="center"/>
              <w:rPr>
                <w:rFonts w:ascii="仿宋" w:hAnsi="仿宋" w:eastAsia="仿宋" w:cs="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9" w:hRule="atLeast"/>
          <w:jc w:val="center"/>
        </w:trPr>
        <w:tc>
          <w:tcPr>
            <w:tcW w:w="1417" w:type="dxa"/>
            <w:vMerge w:val="restart"/>
            <w:vAlign w:val="center"/>
          </w:tcPr>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4.法律风险防控（8分）</w:t>
            </w: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p>
            <w:pPr>
              <w:pStyle w:val="16"/>
              <w:rPr>
                <w:rFonts w:ascii="仿宋" w:hAnsi="仿宋" w:eastAsia="仿宋" w:cs="仿宋"/>
                <w:sz w:val="24"/>
                <w:szCs w:val="24"/>
                <w:lang w:eastAsia="en-US"/>
              </w:rPr>
            </w:pPr>
          </w:p>
          <w:p>
            <w:pPr>
              <w:pStyle w:val="16"/>
              <w:rPr>
                <w:rFonts w:ascii="仿宋" w:hAnsi="仿宋" w:eastAsia="仿宋" w:cs="仿宋"/>
                <w:sz w:val="24"/>
                <w:szCs w:val="24"/>
                <w:lang w:eastAsia="en-US"/>
              </w:rPr>
            </w:pPr>
          </w:p>
          <w:p>
            <w:pPr>
              <w:pStyle w:val="16"/>
              <w:jc w:val="center"/>
              <w:rPr>
                <w:rFonts w:ascii="仿宋" w:hAnsi="仿宋" w:eastAsia="仿宋" w:cs="仿宋"/>
                <w:sz w:val="24"/>
                <w:szCs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4.2</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梳理法律风险清单并明确处置办法</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（3分）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4.2.1在资产经营与处置、国际交流合作、校园基建、科研管理、人事管理、财务管理等重点领域，依据法律法规和章程健全管理制度，所涉法律关系清晰，权利义务明确。（2分）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座谈或问卷调查抽查相关资料</w:t>
            </w:r>
          </w:p>
        </w:tc>
        <w:tc>
          <w:tcPr>
            <w:tcW w:w="1984" w:type="dxa"/>
            <w:tcBorders>
              <w:top w:val="single" w:color="auto" w:sz="4" w:space="0"/>
            </w:tcBorders>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国资处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国交处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后勤基建处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科技处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人事处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财务处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审计处</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产业办</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4.2.2编制学校法律风险清单（包括涉外法律风险）及处置办法（1分）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财务处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产业办</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国交处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4.3</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健全师生人身伤害事故纠纷的预防、处置和风险分担机制（2分）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4.3.1制定学校人身伤害事件处理预案，发生师生人身伤害事故，第一时间启动预案，进行处置（1分）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座谈或问卷调查；抽查相关资料</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4.3.2有健全的安全事故处理机制，可以有效调处纠纷（1分）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保卫处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后勤基建处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科技处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17"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5.师生法治教育（7分）</w:t>
            </w:r>
          </w:p>
          <w:p>
            <w:pPr>
              <w:pStyle w:val="16"/>
              <w:jc w:val="center"/>
              <w:rPr>
                <w:rFonts w:ascii="仿宋" w:hAnsi="仿宋" w:eastAsia="仿宋" w:cs="仿宋"/>
                <w:sz w:val="24"/>
                <w:szCs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5.1</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把学习宣传宪法摆在普法工作的首要位置</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（2分）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5.1.1每年国家宪法日组织宪法学习宣传活动，组织参加全国和全区“学宪法、讲宪法”活动（1分）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座谈或问卷调查；抽查相关资料</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5.1.2通过多种形式、途径将宪法教育与学生日常培养过程相结合（1分）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sz w:val="24"/>
                <w:lang w:eastAsia="en-US" w:bidi="zh-CN"/>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5.2</w:t>
            </w:r>
          </w:p>
        </w:tc>
        <w:tc>
          <w:tcPr>
            <w:tcW w:w="1559"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制定学校普法规划（1分）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5.2.1制定学校普法规划，推进国家普法规划和教育系统普法规划贯彻实施（1分）</w:t>
            </w:r>
          </w:p>
        </w:tc>
        <w:tc>
          <w:tcPr>
            <w:tcW w:w="1418"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417" w:type="dxa"/>
            <w:vMerge w:val="continue"/>
            <w:vAlign w:val="center"/>
          </w:tcPr>
          <w:p>
            <w:pPr>
              <w:pStyle w:val="16"/>
              <w:jc w:val="center"/>
              <w:rPr>
                <w:rFonts w:ascii="仿宋" w:hAnsi="仿宋" w:eastAsia="仿宋" w:cs="仿宋"/>
                <w:sz w:val="24"/>
                <w:szCs w:val="24"/>
                <w:lang w:eastAsia="en-US"/>
              </w:rPr>
            </w:pPr>
          </w:p>
        </w:tc>
        <w:tc>
          <w:tcPr>
            <w:tcW w:w="705"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5.3</w:t>
            </w:r>
          </w:p>
        </w:tc>
        <w:tc>
          <w:tcPr>
            <w:tcW w:w="1559"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开展法治文化建设（2分）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5.3.1校园法治文化建设有特色、有品牌、有专题、有成效。（2分）</w:t>
            </w:r>
          </w:p>
        </w:tc>
        <w:tc>
          <w:tcPr>
            <w:tcW w:w="1418"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宣传部</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1417" w:type="dxa"/>
            <w:vMerge w:val="continue"/>
            <w:vAlign w:val="center"/>
          </w:tcPr>
          <w:p>
            <w:pPr>
              <w:autoSpaceDE w:val="0"/>
              <w:autoSpaceDN w:val="0"/>
              <w:jc w:val="center"/>
              <w:rPr>
                <w:rFonts w:ascii="仿宋" w:hAnsi="仿宋" w:eastAsia="仿宋" w:cs="仿宋"/>
                <w:sz w:val="24"/>
                <w:lang w:eastAsia="en-US"/>
              </w:rPr>
            </w:pPr>
          </w:p>
        </w:tc>
        <w:tc>
          <w:tcPr>
            <w:tcW w:w="705"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5.4</w:t>
            </w:r>
          </w:p>
        </w:tc>
        <w:tc>
          <w:tcPr>
            <w:tcW w:w="1559"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建立领导干部、教师学法制度（2分）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5.4.1领导干部、教师学法形成制度，保证每年有一定学时的培训。（2分）</w:t>
            </w:r>
          </w:p>
        </w:tc>
        <w:tc>
          <w:tcPr>
            <w:tcW w:w="1418"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jc w:val="center"/>
        </w:trPr>
        <w:tc>
          <w:tcPr>
            <w:tcW w:w="1417"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6.师生权益保护</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（8分）</w:t>
            </w: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6.1</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对师生的处理、处分做到程序正当</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（4分）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6.1.1对教师、学生作出重大处理、处分前，履行合法性审查程序。（2分）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Merge w:val="restart"/>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教师工作部</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研究生工作部</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学工部</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教评中心</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教务处</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国教院</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高职院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护理学院</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玉林校区</w:t>
            </w:r>
          </w:p>
          <w:p>
            <w:pPr>
              <w:autoSpaceDE w:val="0"/>
              <w:autoSpaceDN w:val="0"/>
              <w:jc w:val="center"/>
              <w:rPr>
                <w:rFonts w:ascii="仿宋" w:hAnsi="仿宋" w:eastAsia="仿宋" w:cs="仿宋"/>
                <w:sz w:val="24"/>
                <w:lang w:eastAsia="en-US"/>
              </w:rPr>
            </w:pPr>
            <w:r>
              <w:rPr>
                <w:rFonts w:hint="eastAsia" w:ascii="仿宋" w:hAnsi="仿宋" w:eastAsia="仿宋" w:cs="仿宋"/>
                <w:kern w:val="0"/>
                <w:sz w:val="24"/>
                <w:lang w:val="zh-CN" w:eastAsia="en-US" w:bidi="zh-CN"/>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6.1.2 对教师、学生的处理、处分程序完备，有书面决定，及时送达，决定书格式内容规范，载明救济渠道，事后归档。（2分）</w:t>
            </w:r>
          </w:p>
        </w:tc>
        <w:tc>
          <w:tcPr>
            <w:tcW w:w="1418"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984" w:type="dxa"/>
            <w:vMerge w:val="continue"/>
            <w:vAlign w:val="center"/>
          </w:tcPr>
          <w:p>
            <w:pPr>
              <w:autoSpaceDE w:val="0"/>
              <w:autoSpaceDN w:val="0"/>
              <w:ind w:firstLine="235" w:firstLineChars="98"/>
              <w:jc w:val="center"/>
              <w:rPr>
                <w:rFonts w:ascii="仿宋" w:hAnsi="仿宋" w:eastAsia="仿宋" w:cs="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6.2</w:t>
            </w:r>
          </w:p>
        </w:tc>
        <w:tc>
          <w:tcPr>
            <w:tcW w:w="1559"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建立健全师生校内权益救济制度</w:t>
            </w:r>
          </w:p>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（4分）</w:t>
            </w: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6.2.1 建立教师申诉处理委员会或者其他方式的教师权益保护救济机制（1分）</w:t>
            </w:r>
          </w:p>
        </w:tc>
        <w:tc>
          <w:tcPr>
            <w:tcW w:w="1418" w:type="dxa"/>
            <w:vMerge w:val="restart"/>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抽查相关资料；座谈或问卷调查</w:t>
            </w:r>
          </w:p>
        </w:tc>
        <w:tc>
          <w:tcPr>
            <w:tcW w:w="1984" w:type="dxa"/>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校工会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6.2.2 按规定建立学生申诉处理委员会（1分）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6.2.3制定并公布教师、学生申诉的规则与程序（1分）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tcPr>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校工会</w:t>
            </w:r>
          </w:p>
          <w:p>
            <w:pPr>
              <w:autoSpaceDE w:val="0"/>
              <w:autoSpaceDN w:val="0"/>
              <w:jc w:val="center"/>
              <w:rPr>
                <w:rFonts w:ascii="仿宋" w:hAnsi="仿宋" w:eastAsia="仿宋" w:cs="仿宋"/>
                <w:sz w:val="24"/>
                <w:lang w:eastAsia="en-US"/>
              </w:rPr>
            </w:pPr>
            <w:r>
              <w:rPr>
                <w:rFonts w:hint="eastAsia" w:ascii="仿宋" w:hAnsi="仿宋" w:eastAsia="仿宋" w:cs="仿宋"/>
                <w:sz w:val="24"/>
                <w:lang w:val="zh-CN" w:eastAsia="en-US" w:bidi="zh-CN"/>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jc w:val="center"/>
        </w:trPr>
        <w:tc>
          <w:tcPr>
            <w:tcW w:w="1417"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nil"/>
            </w:tcBorders>
            <w:vAlign w:val="center"/>
          </w:tcPr>
          <w:p>
            <w:pPr>
              <w:autoSpaceDE w:val="0"/>
              <w:autoSpaceDN w:val="0"/>
              <w:jc w:val="center"/>
              <w:rPr>
                <w:rFonts w:ascii="仿宋" w:hAnsi="仿宋" w:eastAsia="仿宋" w:cs="仿宋"/>
                <w:sz w:val="24"/>
                <w:lang w:eastAsia="en-US"/>
              </w:rPr>
            </w:pPr>
          </w:p>
        </w:tc>
        <w:tc>
          <w:tcPr>
            <w:tcW w:w="8221" w:type="dxa"/>
            <w:vAlign w:val="center"/>
          </w:tcPr>
          <w:p>
            <w:pPr>
              <w:pStyle w:val="16"/>
              <w:jc w:val="both"/>
              <w:rPr>
                <w:rFonts w:ascii="仿宋" w:hAnsi="仿宋" w:eastAsia="仿宋" w:cs="仿宋"/>
                <w:sz w:val="24"/>
                <w:szCs w:val="24"/>
                <w:lang w:eastAsia="en-US"/>
              </w:rPr>
            </w:pPr>
            <w:r>
              <w:rPr>
                <w:rFonts w:hint="eastAsia" w:ascii="仿宋" w:hAnsi="仿宋" w:eastAsia="仿宋" w:cs="仿宋"/>
                <w:sz w:val="24"/>
                <w:szCs w:val="24"/>
                <w:lang w:eastAsia="en-US"/>
              </w:rPr>
              <w:t>6.2.4建立听证工作机制，涉及师生重大利益的处理、处分或申诉，经申请，可以举行听证（1分）</w:t>
            </w:r>
          </w:p>
        </w:tc>
        <w:tc>
          <w:tcPr>
            <w:tcW w:w="1418" w:type="dxa"/>
            <w:vMerge w:val="continue"/>
            <w:tcBorders>
              <w:top w:val="nil"/>
            </w:tcBorders>
          </w:tcPr>
          <w:p>
            <w:pPr>
              <w:autoSpaceDE w:val="0"/>
              <w:autoSpaceDN w:val="0"/>
              <w:jc w:val="center"/>
              <w:rPr>
                <w:rFonts w:ascii="仿宋" w:hAnsi="仿宋" w:eastAsia="仿宋" w:cs="仿宋"/>
                <w:sz w:val="24"/>
                <w:lang w:eastAsia="en-US"/>
              </w:rPr>
            </w:pPr>
          </w:p>
        </w:tc>
        <w:tc>
          <w:tcPr>
            <w:tcW w:w="1984" w:type="dxa"/>
            <w:tcBorders>
              <w:top w:val="nil"/>
            </w:tcBorders>
            <w:vAlign w:val="center"/>
          </w:tcPr>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校工会</w:t>
            </w:r>
          </w:p>
          <w:p>
            <w:pPr>
              <w:autoSpaceDE w:val="0"/>
              <w:autoSpaceDN w:val="0"/>
              <w:jc w:val="center"/>
              <w:rPr>
                <w:rFonts w:ascii="仿宋" w:hAnsi="仿宋" w:eastAsia="仿宋" w:cs="仿宋"/>
                <w:sz w:val="24"/>
                <w:lang w:eastAsia="en-US"/>
              </w:rPr>
            </w:pPr>
            <w:r>
              <w:rPr>
                <w:rFonts w:hint="eastAsia" w:ascii="仿宋" w:hAnsi="仿宋" w:eastAsia="仿宋" w:cs="仿宋"/>
                <w:sz w:val="24"/>
                <w:lang w:val="zh-CN" w:eastAsia="en-US" w:bidi="zh-CN"/>
              </w:rPr>
              <w:t>党办、校办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1417" w:type="dxa"/>
            <w:vMerge w:val="restart"/>
            <w:tcBorders>
              <w:top w:val="single" w:color="000000" w:sz="2" w:space="0"/>
              <w:left w:val="single" w:color="000000" w:sz="2" w:space="0"/>
              <w:right w:val="single" w:color="000000" w:sz="2" w:space="0"/>
            </w:tcBorders>
            <w:shd w:val="clear" w:color="auto" w:fill="auto"/>
            <w:vAlign w:val="center"/>
          </w:tcPr>
          <w:p>
            <w:pPr>
              <w:pStyle w:val="16"/>
              <w:ind w:left="210" w:leftChars="100"/>
              <w:jc w:val="center"/>
              <w:rPr>
                <w:rFonts w:ascii="仿宋" w:hAnsi="仿宋" w:eastAsia="仿宋" w:cs="仿宋"/>
                <w:sz w:val="24"/>
                <w:szCs w:val="24"/>
                <w:lang w:eastAsia="en-US"/>
              </w:rPr>
            </w:pPr>
            <w:r>
              <w:rPr>
                <w:rFonts w:hint="eastAsia" w:ascii="仿宋" w:hAnsi="仿宋" w:eastAsia="仿宋" w:cs="仿宋"/>
                <w:sz w:val="24"/>
                <w:szCs w:val="24"/>
                <w:lang w:eastAsia="en-US"/>
              </w:rPr>
              <w:t>7.法治工作机构和队伍建设</w:t>
            </w:r>
          </w:p>
          <w:p>
            <w:pPr>
              <w:pStyle w:val="16"/>
              <w:ind w:left="210" w:leftChars="100"/>
              <w:jc w:val="center"/>
              <w:rPr>
                <w:rFonts w:ascii="仿宋" w:hAnsi="仿宋" w:eastAsia="仿宋" w:cs="仿宋"/>
                <w:sz w:val="24"/>
                <w:szCs w:val="24"/>
                <w:lang w:val="en-US" w:eastAsia="en-US"/>
              </w:rPr>
            </w:pPr>
            <w:r>
              <w:rPr>
                <w:rFonts w:hint="eastAsia" w:ascii="仿宋" w:hAnsi="仿宋" w:eastAsia="仿宋" w:cs="仿宋"/>
                <w:sz w:val="24"/>
                <w:szCs w:val="24"/>
                <w:lang w:val="en-US" w:eastAsia="en-US"/>
              </w:rPr>
              <w:t>(</w:t>
            </w:r>
            <w:r>
              <w:rPr>
                <w:rFonts w:hint="eastAsia" w:ascii="仿宋" w:hAnsi="仿宋" w:eastAsia="仿宋" w:cs="仿宋"/>
                <w:sz w:val="24"/>
                <w:szCs w:val="24"/>
                <w:lang w:eastAsia="en-US"/>
              </w:rPr>
              <w:t>11分</w:t>
            </w:r>
            <w:r>
              <w:rPr>
                <w:rFonts w:hint="eastAsia" w:ascii="仿宋" w:hAnsi="仿宋" w:eastAsia="仿宋" w:cs="仿宋"/>
                <w:sz w:val="24"/>
                <w:szCs w:val="24"/>
                <w:lang w:val="en-US" w:eastAsia="en-US"/>
              </w:rPr>
              <w:t>)</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7.1</w:t>
            </w:r>
          </w:p>
        </w:tc>
        <w:tc>
          <w:tcPr>
            <w:tcW w:w="155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有机构负责法治工作（2分）</w:t>
            </w:r>
          </w:p>
        </w:tc>
        <w:tc>
          <w:tcPr>
            <w:tcW w:w="822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7.1.1有机构负责法治工作。（2分）</w:t>
            </w:r>
          </w:p>
        </w:tc>
        <w:tc>
          <w:tcPr>
            <w:tcW w:w="14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抽查相关资料</w:t>
            </w:r>
          </w:p>
        </w:tc>
        <w:tc>
          <w:tcPr>
            <w:tcW w:w="1984" w:type="dxa"/>
            <w:tcBorders>
              <w:top w:val="single" w:color="000000" w:sz="2" w:space="0"/>
              <w:left w:val="single" w:color="000000" w:sz="2" w:space="0"/>
              <w:bottom w:val="single" w:color="000000" w:sz="2" w:space="0"/>
              <w:right w:val="single" w:color="000000" w:sz="2" w:space="0"/>
            </w:tcBorders>
            <w:vAlign w:val="center"/>
          </w:tcPr>
          <w:p>
            <w:pPr>
              <w:widowControl/>
              <w:kinsoku w:val="0"/>
              <w:autoSpaceDE w:val="0"/>
              <w:autoSpaceDN w:val="0"/>
              <w:adjustRightInd w:val="0"/>
              <w:snapToGrid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widowControl/>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eastAsia="en-US" w:bidi="zh-CN"/>
              </w:rPr>
              <w:t>宣传部（普法办）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jc w:val="center"/>
        </w:trPr>
        <w:tc>
          <w:tcPr>
            <w:tcW w:w="1417" w:type="dxa"/>
            <w:vMerge w:val="continue"/>
            <w:tcBorders>
              <w:left w:val="single" w:color="000000" w:sz="2" w:space="0"/>
              <w:right w:val="single" w:color="000000" w:sz="2" w:space="0"/>
            </w:tcBorders>
            <w:shd w:val="clear" w:color="auto" w:fill="auto"/>
            <w:vAlign w:val="center"/>
          </w:tcPr>
          <w:p>
            <w:pPr>
              <w:autoSpaceDE w:val="0"/>
              <w:autoSpaceDN w:val="0"/>
              <w:jc w:val="center"/>
              <w:rPr>
                <w:rFonts w:ascii="仿宋" w:hAnsi="仿宋" w:eastAsia="仿宋" w:cs="仿宋"/>
                <w:snapToGrid w:val="0"/>
                <w:color w:val="000000"/>
                <w:sz w:val="24"/>
                <w:lang w:eastAsia="en-US"/>
              </w:rPr>
            </w:pP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7.2</w:t>
            </w:r>
          </w:p>
        </w:tc>
        <w:tc>
          <w:tcPr>
            <w:tcW w:w="155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法治工作机构适应学校规模和管理需求，配齐配足工作人员（4分）</w:t>
            </w:r>
          </w:p>
        </w:tc>
        <w:tc>
          <w:tcPr>
            <w:tcW w:w="822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7.2.1法治工作机构有专职工作人员。</w:t>
            </w:r>
            <w:r>
              <w:rPr>
                <w:rFonts w:hint="eastAsia" w:ascii="仿宋" w:hAnsi="仿宋" w:eastAsia="仿宋" w:cs="仿宋"/>
                <w:kern w:val="0"/>
                <w:sz w:val="24"/>
                <w:lang w:eastAsia="en-US" w:bidi="zh-CN"/>
              </w:rPr>
              <w:t xml:space="preserve"> </w:t>
            </w:r>
            <w:r>
              <w:rPr>
                <w:rFonts w:hint="eastAsia" w:ascii="仿宋" w:hAnsi="仿宋" w:eastAsia="仿宋" w:cs="仿宋"/>
                <w:kern w:val="0"/>
                <w:sz w:val="24"/>
                <w:lang w:val="zh-CN" w:eastAsia="en-US" w:bidi="zh-CN"/>
              </w:rPr>
              <w:t>（有2名1分，2名以上每超过1名加0.5分，最高4分）</w:t>
            </w:r>
          </w:p>
        </w:tc>
        <w:tc>
          <w:tcPr>
            <w:tcW w:w="14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座谈或问卷调查</w:t>
            </w:r>
          </w:p>
        </w:tc>
        <w:tc>
          <w:tcPr>
            <w:tcW w:w="1984" w:type="dxa"/>
            <w:tcBorders>
              <w:top w:val="single" w:color="000000" w:sz="2" w:space="0"/>
              <w:left w:val="single" w:color="000000" w:sz="2" w:space="0"/>
              <w:bottom w:val="single" w:color="000000" w:sz="2" w:space="0"/>
              <w:right w:val="single" w:color="000000" w:sz="2" w:space="0"/>
            </w:tcBorders>
            <w:vAlign w:val="center"/>
          </w:tcPr>
          <w:p>
            <w:pPr>
              <w:widowControl/>
              <w:kinsoku w:val="0"/>
              <w:autoSpaceDE w:val="0"/>
              <w:autoSpaceDN w:val="0"/>
              <w:adjustRightInd w:val="0"/>
              <w:snapToGrid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widowControl/>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eastAsia="en-US" w:bidi="zh-CN"/>
              </w:rPr>
              <w:t>宣传部（普法办）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1417" w:type="dxa"/>
            <w:vMerge w:val="continue"/>
            <w:tcBorders>
              <w:left w:val="single" w:color="000000" w:sz="2" w:space="0"/>
              <w:right w:val="single" w:color="000000" w:sz="2" w:space="0"/>
            </w:tcBorders>
            <w:shd w:val="clear" w:color="auto" w:fill="auto"/>
            <w:vAlign w:val="center"/>
          </w:tcPr>
          <w:p>
            <w:pPr>
              <w:autoSpaceDE w:val="0"/>
              <w:autoSpaceDN w:val="0"/>
              <w:jc w:val="center"/>
              <w:rPr>
                <w:rFonts w:ascii="仿宋" w:hAnsi="仿宋" w:eastAsia="仿宋" w:cs="仿宋"/>
                <w:snapToGrid w:val="0"/>
                <w:color w:val="000000"/>
                <w:sz w:val="24"/>
                <w:lang w:eastAsia="en-US"/>
              </w:rPr>
            </w:pPr>
          </w:p>
        </w:tc>
        <w:tc>
          <w:tcPr>
            <w:tcW w:w="70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7.3</w:t>
            </w:r>
          </w:p>
        </w:tc>
        <w:tc>
          <w:tcPr>
            <w:tcW w:w="1559"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ind w:hanging="3"/>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法治工作机构负责人、工作人员具备履职能力</w:t>
            </w:r>
          </w:p>
          <w:p>
            <w:pPr>
              <w:widowControl/>
              <w:kinsoku w:val="0"/>
              <w:autoSpaceDE w:val="0"/>
              <w:autoSpaceDN w:val="0"/>
              <w:adjustRightInd w:val="0"/>
              <w:snapToGrid w:val="0"/>
              <w:ind w:hanging="3"/>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（2分）</w:t>
            </w:r>
          </w:p>
        </w:tc>
        <w:tc>
          <w:tcPr>
            <w:tcW w:w="822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7.3.1法治工作机构负责人具备法学专业背景或法律实务工作经验（1分）</w:t>
            </w:r>
          </w:p>
        </w:tc>
        <w:tc>
          <w:tcPr>
            <w:tcW w:w="141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抽查相关资料；座谈或问卷调查</w:t>
            </w:r>
          </w:p>
        </w:tc>
        <w:tc>
          <w:tcPr>
            <w:tcW w:w="1984" w:type="dxa"/>
            <w:tcBorders>
              <w:top w:val="single" w:color="000000" w:sz="2" w:space="0"/>
              <w:left w:val="single" w:color="000000" w:sz="2" w:space="0"/>
              <w:bottom w:val="single" w:color="000000" w:sz="2" w:space="0"/>
              <w:right w:val="single" w:color="000000" w:sz="2" w:space="0"/>
            </w:tcBorders>
            <w:vAlign w:val="center"/>
          </w:tcPr>
          <w:p>
            <w:pPr>
              <w:widowControl/>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eastAsia="en-US" w:bidi="zh-CN"/>
              </w:rPr>
              <w:t>党办、校办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jc w:val="center"/>
        </w:trPr>
        <w:tc>
          <w:tcPr>
            <w:tcW w:w="1417" w:type="dxa"/>
            <w:vMerge w:val="continue"/>
            <w:tcBorders>
              <w:left w:val="single" w:color="000000" w:sz="2" w:space="0"/>
              <w:right w:val="single" w:color="000000" w:sz="2" w:space="0"/>
            </w:tcBorders>
            <w:shd w:val="clear" w:color="auto" w:fill="auto"/>
            <w:vAlign w:val="center"/>
          </w:tcPr>
          <w:p>
            <w:pPr>
              <w:autoSpaceDE w:val="0"/>
              <w:autoSpaceDN w:val="0"/>
              <w:jc w:val="center"/>
              <w:rPr>
                <w:rFonts w:ascii="仿宋" w:hAnsi="仿宋" w:eastAsia="仿宋" w:cs="仿宋"/>
                <w:snapToGrid w:val="0"/>
                <w:color w:val="000000"/>
                <w:sz w:val="24"/>
                <w:lang w:eastAsia="en-US"/>
              </w:rPr>
            </w:pPr>
          </w:p>
        </w:tc>
        <w:tc>
          <w:tcPr>
            <w:tcW w:w="70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pStyle w:val="16"/>
              <w:jc w:val="center"/>
              <w:rPr>
                <w:rFonts w:ascii="仿宋" w:hAnsi="仿宋" w:eastAsia="仿宋" w:cs="仿宋"/>
                <w:sz w:val="24"/>
                <w:szCs w:val="24"/>
                <w:lang w:eastAsia="en-US"/>
              </w:rPr>
            </w:pPr>
          </w:p>
        </w:tc>
        <w:tc>
          <w:tcPr>
            <w:tcW w:w="1559"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autoSpaceDE w:val="0"/>
              <w:autoSpaceDN w:val="0"/>
              <w:jc w:val="center"/>
              <w:rPr>
                <w:rFonts w:ascii="仿宋" w:hAnsi="仿宋" w:eastAsia="仿宋" w:cs="仿宋"/>
                <w:kern w:val="0"/>
                <w:sz w:val="24"/>
                <w:lang w:val="zh-CN" w:eastAsia="en-US" w:bidi="zh-CN"/>
              </w:rPr>
            </w:pPr>
          </w:p>
        </w:tc>
        <w:tc>
          <w:tcPr>
            <w:tcW w:w="822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7.3.2对专职法治工作人员有提升专业能力、安排专业培训、取得法律职业资格的鼓励支持措施（1分）</w:t>
            </w:r>
          </w:p>
        </w:tc>
        <w:tc>
          <w:tcPr>
            <w:tcW w:w="141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jc w:val="center"/>
              <w:rPr>
                <w:rFonts w:ascii="仿宋" w:hAnsi="仿宋" w:eastAsia="仿宋" w:cs="仿宋"/>
                <w:kern w:val="0"/>
                <w:sz w:val="24"/>
                <w:lang w:val="zh-CN" w:eastAsia="en-US" w:bidi="zh-CN"/>
              </w:rPr>
            </w:pPr>
          </w:p>
        </w:tc>
        <w:tc>
          <w:tcPr>
            <w:tcW w:w="1984"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sz w:val="24"/>
                <w:lang w:eastAsia="en-US" w:bidi="zh-CN"/>
              </w:rPr>
              <w:t>党办、校办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1417" w:type="dxa"/>
            <w:vMerge w:val="continue"/>
            <w:tcBorders>
              <w:left w:val="single" w:color="000000" w:sz="2" w:space="0"/>
              <w:right w:val="single" w:color="000000" w:sz="2" w:space="0"/>
            </w:tcBorders>
            <w:shd w:val="clear" w:color="auto" w:fill="auto"/>
            <w:vAlign w:val="center"/>
          </w:tcPr>
          <w:p>
            <w:pPr>
              <w:autoSpaceDE w:val="0"/>
              <w:autoSpaceDN w:val="0"/>
              <w:jc w:val="center"/>
              <w:rPr>
                <w:rFonts w:ascii="仿宋" w:hAnsi="仿宋" w:eastAsia="仿宋" w:cs="仿宋"/>
                <w:snapToGrid w:val="0"/>
                <w:color w:val="000000"/>
                <w:sz w:val="24"/>
                <w:lang w:eastAsia="en-US"/>
              </w:rPr>
            </w:pP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7.4</w:t>
            </w:r>
          </w:p>
        </w:tc>
        <w:tc>
          <w:tcPr>
            <w:tcW w:w="155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建立法律顾问制度（1分）</w:t>
            </w:r>
          </w:p>
        </w:tc>
        <w:tc>
          <w:tcPr>
            <w:tcW w:w="822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ind w:firstLine="4"/>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7.4.1学校法律顾问制度健全，由法治工作机构人员、学校相关专家、外聘执业律师等组成法律顾问队伍，在学校决策中提供法律意见（1分）</w:t>
            </w:r>
          </w:p>
        </w:tc>
        <w:tc>
          <w:tcPr>
            <w:tcW w:w="14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抽查相关资料。</w:t>
            </w:r>
          </w:p>
        </w:tc>
        <w:tc>
          <w:tcPr>
            <w:tcW w:w="1984" w:type="dxa"/>
            <w:tcBorders>
              <w:top w:val="single" w:color="000000" w:sz="2" w:space="0"/>
              <w:left w:val="single" w:color="000000" w:sz="2" w:space="0"/>
              <w:bottom w:val="single" w:color="000000" w:sz="2" w:space="0"/>
              <w:right w:val="single" w:color="000000" w:sz="2"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sz w:val="24"/>
                <w:lang w:eastAsia="en-US" w:bidi="zh-CN"/>
              </w:rPr>
              <w:t>党办、校办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1417" w:type="dxa"/>
            <w:vMerge w:val="continue"/>
            <w:tcBorders>
              <w:left w:val="single" w:color="000000" w:sz="2" w:space="0"/>
              <w:right w:val="single" w:color="000000" w:sz="2" w:space="0"/>
            </w:tcBorders>
            <w:shd w:val="clear" w:color="auto" w:fill="auto"/>
            <w:vAlign w:val="center"/>
          </w:tcPr>
          <w:p>
            <w:pPr>
              <w:autoSpaceDE w:val="0"/>
              <w:autoSpaceDN w:val="0"/>
              <w:jc w:val="center"/>
              <w:rPr>
                <w:rFonts w:ascii="仿宋" w:hAnsi="仿宋" w:eastAsia="仿宋" w:cs="仿宋"/>
                <w:snapToGrid w:val="0"/>
                <w:color w:val="000000"/>
                <w:sz w:val="24"/>
                <w:lang w:eastAsia="en-US"/>
              </w:rPr>
            </w:pP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6"/>
              <w:jc w:val="center"/>
              <w:rPr>
                <w:rFonts w:ascii="仿宋" w:hAnsi="仿宋" w:eastAsia="仿宋" w:cs="仿宋"/>
                <w:sz w:val="24"/>
                <w:szCs w:val="24"/>
                <w:lang w:eastAsia="en-US"/>
              </w:rPr>
            </w:pPr>
            <w:r>
              <w:rPr>
                <w:rFonts w:hint="eastAsia" w:ascii="仿宋" w:hAnsi="仿宋" w:eastAsia="仿宋" w:cs="仿宋"/>
                <w:sz w:val="24"/>
                <w:szCs w:val="24"/>
                <w:lang w:eastAsia="en-US"/>
              </w:rPr>
              <w:t>7.5</w:t>
            </w:r>
          </w:p>
        </w:tc>
        <w:tc>
          <w:tcPr>
            <w:tcW w:w="155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建立法治工作联络员制度</w:t>
            </w:r>
          </w:p>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（1分）</w:t>
            </w:r>
          </w:p>
        </w:tc>
        <w:tc>
          <w:tcPr>
            <w:tcW w:w="822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7.5.1学校各院系、职能部门设有法治工作联络员，在学校法治工作机构指导下开展工作（1分）</w:t>
            </w:r>
          </w:p>
        </w:tc>
        <w:tc>
          <w:tcPr>
            <w:tcW w:w="14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座谈或问卷调查</w:t>
            </w:r>
          </w:p>
        </w:tc>
        <w:tc>
          <w:tcPr>
            <w:tcW w:w="1984" w:type="dxa"/>
            <w:tcBorders>
              <w:top w:val="single" w:color="000000" w:sz="2" w:space="0"/>
              <w:left w:val="single" w:color="000000" w:sz="2" w:space="0"/>
              <w:bottom w:val="single" w:color="000000" w:sz="2" w:space="0"/>
              <w:right w:val="single" w:color="000000" w:sz="2" w:space="0"/>
            </w:tcBorders>
            <w:vAlign w:val="center"/>
          </w:tcPr>
          <w:p>
            <w:pPr>
              <w:widowControl/>
              <w:kinsoku w:val="0"/>
              <w:autoSpaceDE w:val="0"/>
              <w:autoSpaceDN w:val="0"/>
              <w:adjustRightInd w:val="0"/>
              <w:snapToGrid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sz w:val="24"/>
                <w:lang w:eastAsia="en-US" w:bidi="zh-CN"/>
              </w:rPr>
              <w:t>各二级学院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jc w:val="center"/>
        </w:trPr>
        <w:tc>
          <w:tcPr>
            <w:tcW w:w="1417" w:type="dxa"/>
            <w:vMerge w:val="continue"/>
            <w:tcBorders>
              <w:left w:val="single" w:color="000000" w:sz="2" w:space="0"/>
              <w:right w:val="single" w:color="000000" w:sz="2"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705" w:type="dxa"/>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7.6</w:t>
            </w:r>
          </w:p>
        </w:tc>
        <w:tc>
          <w:tcPr>
            <w:tcW w:w="1559" w:type="dxa"/>
            <w:vAlign w:val="center"/>
          </w:tcPr>
          <w:p>
            <w:pPr>
              <w:widowControl/>
              <w:kinsoku w:val="0"/>
              <w:autoSpaceDE w:val="0"/>
              <w:autoSpaceDN w:val="0"/>
              <w:adjustRightInd w:val="0"/>
              <w:snapToGrid w:val="0"/>
              <w:ind w:hanging="2"/>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加强法治工作机构条件保障（1分）</w:t>
            </w:r>
          </w:p>
        </w:tc>
        <w:tc>
          <w:tcPr>
            <w:tcW w:w="8221" w:type="dxa"/>
            <w:vAlign w:val="center"/>
          </w:tcPr>
          <w:p>
            <w:pPr>
              <w:widowControl/>
              <w:kinsoku w:val="0"/>
              <w:autoSpaceDE w:val="0"/>
              <w:autoSpaceDN w:val="0"/>
              <w:adjustRightInd w:val="0"/>
              <w:snapToGrid w:val="0"/>
              <w:ind w:firstLine="4"/>
              <w:jc w:val="left"/>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7.6.1学校根据需要安排法治工作专项经费，保障法治工作机构的工作条件、办公经费（1分）</w:t>
            </w:r>
          </w:p>
        </w:tc>
        <w:tc>
          <w:tcPr>
            <w:tcW w:w="1418" w:type="dxa"/>
            <w:tcBorders>
              <w:bottom w:val="single" w:color="auto" w:sz="4"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抽查相关资料</w:t>
            </w:r>
          </w:p>
        </w:tc>
        <w:tc>
          <w:tcPr>
            <w:tcW w:w="1984" w:type="dxa"/>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sz w:val="24"/>
                <w:lang w:eastAsia="en-US" w:bidi="zh-CN"/>
              </w:rPr>
              <w:t>党办、校办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1417" w:type="dxa"/>
            <w:vMerge w:val="restart"/>
            <w:tcBorders>
              <w:bottom w:val="nil"/>
            </w:tcBorders>
            <w:vAlign w:val="center"/>
          </w:tcPr>
          <w:p>
            <w:pPr>
              <w:widowControl/>
              <w:kinsoku w:val="0"/>
              <w:autoSpaceDE w:val="0"/>
              <w:autoSpaceDN w:val="0"/>
              <w:adjustRightInd w:val="0"/>
              <w:snapToGrid w:val="0"/>
              <w:ind w:left="210" w:leftChars="10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8.法治工作成效</w:t>
            </w:r>
          </w:p>
          <w:p>
            <w:pPr>
              <w:widowControl/>
              <w:kinsoku w:val="0"/>
              <w:autoSpaceDE w:val="0"/>
              <w:autoSpaceDN w:val="0"/>
              <w:adjustRightInd w:val="0"/>
              <w:snapToGrid w:val="0"/>
              <w:ind w:left="210" w:leftChars="100"/>
              <w:jc w:val="center"/>
              <w:rPr>
                <w:rFonts w:ascii="仿宋" w:hAnsi="仿宋" w:eastAsia="仿宋" w:cs="仿宋"/>
                <w:kern w:val="0"/>
                <w:sz w:val="24"/>
                <w:lang w:val="zh-CN" w:eastAsia="en-US" w:bidi="zh-CN"/>
              </w:rPr>
            </w:pPr>
            <w:r>
              <w:rPr>
                <w:rFonts w:hint="eastAsia" w:ascii="仿宋" w:hAnsi="仿宋" w:eastAsia="仿宋" w:cs="仿宋"/>
                <w:kern w:val="0"/>
                <w:sz w:val="24"/>
                <w:lang w:eastAsia="en-US" w:bidi="zh-CN"/>
              </w:rPr>
              <w:t>(</w:t>
            </w:r>
            <w:r>
              <w:rPr>
                <w:rFonts w:hint="eastAsia" w:ascii="仿宋" w:hAnsi="仿宋" w:eastAsia="仿宋" w:cs="仿宋"/>
                <w:kern w:val="0"/>
                <w:sz w:val="24"/>
                <w:lang w:val="zh-CN" w:eastAsia="en-US" w:bidi="zh-CN"/>
              </w:rPr>
              <w:t>16分）</w:t>
            </w:r>
          </w:p>
        </w:tc>
        <w:tc>
          <w:tcPr>
            <w:tcW w:w="705" w:type="dxa"/>
            <w:vMerge w:val="restart"/>
            <w:tcBorders>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8.1</w:t>
            </w:r>
          </w:p>
        </w:tc>
        <w:tc>
          <w:tcPr>
            <w:tcW w:w="1559" w:type="dxa"/>
            <w:vMerge w:val="restart"/>
            <w:tcBorders>
              <w:bottom w:val="nil"/>
            </w:tcBorders>
            <w:vAlign w:val="center"/>
          </w:tcPr>
          <w:p>
            <w:pPr>
              <w:widowControl/>
              <w:tabs>
                <w:tab w:val="left" w:pos="237"/>
              </w:tabs>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学校治理体系和治理能力现代化水平显著提升，领导干部带头遵纪守法，依法管理水平逐步提高（5分）</w:t>
            </w:r>
          </w:p>
        </w:tc>
        <w:tc>
          <w:tcPr>
            <w:tcW w:w="8221" w:type="dxa"/>
            <w:tcBorders>
              <w:right w:val="single" w:color="auto" w:sz="4" w:space="0"/>
            </w:tcBorders>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8.1.1近2年学校领导干部在履行职务过程中没有因违法犯罪被追究刑事责任（1分）</w:t>
            </w:r>
          </w:p>
        </w:tc>
        <w:tc>
          <w:tcPr>
            <w:tcW w:w="1418"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firstLine="2"/>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座谈或问卷调查；抽查相关资料</w:t>
            </w:r>
          </w:p>
        </w:tc>
        <w:tc>
          <w:tcPr>
            <w:tcW w:w="1984" w:type="dxa"/>
            <w:tcBorders>
              <w:left w:val="single" w:color="auto" w:sz="4" w:space="0"/>
              <w:right w:val="single" w:color="auto" w:sz="4" w:space="0"/>
            </w:tcBorders>
            <w:vAlign w:val="center"/>
          </w:tcPr>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党风廉政建设办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jc w:val="center"/>
        </w:trPr>
        <w:tc>
          <w:tcPr>
            <w:tcW w:w="1417"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705"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1559"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8221" w:type="dxa"/>
            <w:tcBorders>
              <w:right w:val="single" w:color="auto" w:sz="4" w:space="0"/>
            </w:tcBorders>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8.1.2近2年学校没有发生重大决策失误被追究和问责的情况（1分）</w:t>
            </w:r>
          </w:p>
        </w:tc>
        <w:tc>
          <w:tcPr>
            <w:tcW w:w="1418" w:type="dxa"/>
            <w:vMerge w:val="continue"/>
            <w:tcBorders>
              <w:left w:val="single" w:color="auto" w:sz="4" w:space="0"/>
              <w:right w:val="single" w:color="auto" w:sz="4"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1984" w:type="dxa"/>
            <w:tcBorders>
              <w:left w:val="single" w:color="auto" w:sz="4" w:space="0"/>
              <w:right w:val="single" w:color="auto" w:sz="4" w:space="0"/>
            </w:tcBorders>
          </w:tcPr>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宣传部</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组织部</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党风廉政建设办</w:t>
            </w:r>
          </w:p>
          <w:p>
            <w:pPr>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sz w:val="24"/>
                <w:lang w:val="zh-CN" w:eastAsia="en-US" w:bidi="zh-CN"/>
              </w:rPr>
              <w:t>党办、校办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1417"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705"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1559"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8221" w:type="dxa"/>
            <w:tcBorders>
              <w:right w:val="single" w:color="auto" w:sz="4" w:space="0"/>
            </w:tcBorders>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8.1.3近2年没有发生因管理制度不健全、办学活动不规范等而发生社会影响恶劣和重大舆情的事件（1分）</w:t>
            </w:r>
          </w:p>
        </w:tc>
        <w:tc>
          <w:tcPr>
            <w:tcW w:w="1418" w:type="dxa"/>
            <w:vMerge w:val="continue"/>
            <w:tcBorders>
              <w:left w:val="single" w:color="auto" w:sz="4" w:space="0"/>
              <w:right w:val="single" w:color="auto" w:sz="4"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1984" w:type="dxa"/>
            <w:tcBorders>
              <w:left w:val="single" w:color="auto" w:sz="4" w:space="0"/>
              <w:right w:val="single" w:color="auto" w:sz="4" w:space="0"/>
            </w:tcBorders>
          </w:tcPr>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宣传部</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组织部</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党风廉政建设办</w:t>
            </w:r>
          </w:p>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sz w:val="24"/>
                <w:lang w:val="zh-CN" w:eastAsia="en-US" w:bidi="zh-CN"/>
              </w:rPr>
              <w:t>党办、校办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17"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705"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1559" w:type="dxa"/>
            <w:vMerge w:val="continue"/>
            <w:tcBorders>
              <w:top w:val="nil"/>
              <w:bottom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8221" w:type="dxa"/>
            <w:tcBorders>
              <w:right w:val="single" w:color="auto" w:sz="4" w:space="0"/>
            </w:tcBorders>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8.1.4近2年内没有发生因安全事故纠纷处置不当引起的重大负面舆情</w:t>
            </w:r>
          </w:p>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（1分）</w:t>
            </w:r>
          </w:p>
        </w:tc>
        <w:tc>
          <w:tcPr>
            <w:tcW w:w="1418" w:type="dxa"/>
            <w:vMerge w:val="continue"/>
            <w:tcBorders>
              <w:left w:val="single" w:color="auto" w:sz="4" w:space="0"/>
              <w:right w:val="single" w:color="auto" w:sz="4"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1984" w:type="dxa"/>
            <w:tcBorders>
              <w:left w:val="single" w:color="auto" w:sz="4" w:space="0"/>
              <w:right w:val="single" w:color="auto" w:sz="4" w:space="0"/>
            </w:tcBorders>
            <w:vAlign w:val="center"/>
          </w:tcPr>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宣传部</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保卫处</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后勤基建处</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党风廉政建设办</w:t>
            </w:r>
          </w:p>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sz w:val="24"/>
                <w:lang w:val="zh-CN" w:eastAsia="en-US" w:bidi="zh-CN"/>
              </w:rPr>
              <w:t>党办、校办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417" w:type="dxa"/>
            <w:vMerge w:val="continue"/>
            <w:tcBorders>
              <w:top w:val="nil"/>
              <w:bottom w:val="single" w:color="auto" w:sz="4"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705" w:type="dxa"/>
            <w:vMerge w:val="continue"/>
            <w:tcBorders>
              <w:top w:val="nil"/>
              <w:bottom w:val="single" w:color="auto" w:sz="4"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1559" w:type="dxa"/>
            <w:vMerge w:val="continue"/>
            <w:tcBorders>
              <w:top w:val="nil"/>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8221" w:type="dxa"/>
            <w:tcBorders>
              <w:right w:val="single" w:color="auto" w:sz="4" w:space="0"/>
            </w:tcBorders>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8.1.5近2年学校各级部门、院系未发现因违法决策、违法管理，被有关部门通报、约谈或被新闻媒体曝光的事件或群体事件（1分）</w:t>
            </w:r>
          </w:p>
        </w:tc>
        <w:tc>
          <w:tcPr>
            <w:tcW w:w="1418"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p>
        </w:tc>
        <w:tc>
          <w:tcPr>
            <w:tcW w:w="1984" w:type="dxa"/>
            <w:tcBorders>
              <w:left w:val="single" w:color="auto" w:sz="4" w:space="0"/>
              <w:right w:val="single" w:color="auto" w:sz="4" w:space="0"/>
            </w:tcBorders>
          </w:tcPr>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宣传部</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组织部</w:t>
            </w:r>
          </w:p>
          <w:p>
            <w:pPr>
              <w:kinsoku w:val="0"/>
              <w:autoSpaceDE w:val="0"/>
              <w:autoSpaceDN w:val="0"/>
              <w:adjustRightInd w:val="0"/>
              <w:snapToGrid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党风廉政建设办</w:t>
            </w:r>
          </w:p>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sz w:val="24"/>
                <w:lang w:val="zh-CN" w:eastAsia="en-US" w:bidi="zh-CN"/>
              </w:rPr>
              <w:t>各二级学院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jc w:val="center"/>
        </w:trPr>
        <w:tc>
          <w:tcPr>
            <w:tcW w:w="1417" w:type="dxa"/>
            <w:vMerge w:val="restart"/>
            <w:tcBorders>
              <w:top w:val="single" w:color="auto" w:sz="4" w:space="0"/>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8.法治工作成效</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（16分）</w:t>
            </w:r>
          </w:p>
        </w:tc>
        <w:tc>
          <w:tcPr>
            <w:tcW w:w="705" w:type="dxa"/>
            <w:vMerge w:val="restart"/>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8.2</w:t>
            </w:r>
          </w:p>
        </w:tc>
        <w:tc>
          <w:tcPr>
            <w:tcW w:w="1559" w:type="dxa"/>
            <w:vMerge w:val="restart"/>
            <w:vAlign w:val="center"/>
          </w:tcPr>
          <w:p>
            <w:pPr>
              <w:widowControl/>
              <w:kinsoku w:val="0"/>
              <w:autoSpaceDE w:val="0"/>
              <w:autoSpaceDN w:val="0"/>
              <w:adjustRightInd w:val="0"/>
              <w:snapToGrid w:val="0"/>
              <w:ind w:firstLine="1"/>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法治工作业务水平显著提升，保障学校各项事业有序发展（5分）</w:t>
            </w:r>
          </w:p>
        </w:tc>
        <w:tc>
          <w:tcPr>
            <w:tcW w:w="8221" w:type="dxa"/>
            <w:vAlign w:val="center"/>
          </w:tcPr>
          <w:p>
            <w:pPr>
              <w:widowControl/>
              <w:kinsoku w:val="0"/>
              <w:autoSpaceDE w:val="0"/>
              <w:autoSpaceDN w:val="0"/>
              <w:adjustRightInd w:val="0"/>
              <w:snapToGrid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8.2.1近2年招生章程、招生规则等合法、健全，未发生因招生规则不规范、不合法产生舆情或者群体事件，或出现招生违规行为被主管部门通报、处理或处罚情况。（2分）</w:t>
            </w:r>
          </w:p>
        </w:tc>
        <w:tc>
          <w:tcPr>
            <w:tcW w:w="1418" w:type="dxa"/>
            <w:tcBorders>
              <w:top w:val="single" w:color="auto" w:sz="4" w:space="0"/>
            </w:tcBorders>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抽查相关资料；座谈或问卷调查</w:t>
            </w:r>
          </w:p>
        </w:tc>
        <w:tc>
          <w:tcPr>
            <w:tcW w:w="1984" w:type="dxa"/>
            <w:vAlign w:val="center"/>
          </w:tcPr>
          <w:p>
            <w:pPr>
              <w:widowControl/>
              <w:kinsoku w:val="0"/>
              <w:autoSpaceDE w:val="0"/>
              <w:autoSpaceDN w:val="0"/>
              <w:adjustRightInd w:val="0"/>
              <w:snapToGrid w:val="0"/>
              <w:jc w:val="center"/>
              <w:rPr>
                <w:rFonts w:ascii="仿宋" w:hAnsi="仿宋" w:eastAsia="仿宋" w:cs="仿宋"/>
                <w:kern w:val="0"/>
                <w:sz w:val="24"/>
                <w:lang w:val="zh-CN" w:eastAsia="en-US" w:bidi="zh-CN"/>
              </w:rPr>
            </w:pPr>
            <w:r>
              <w:rPr>
                <w:rFonts w:hint="eastAsia" w:ascii="仿宋" w:hAnsi="仿宋" w:eastAsia="仿宋" w:cs="仿宋"/>
                <w:sz w:val="24"/>
                <w:lang w:eastAsia="en-US" w:bidi="zh-CN"/>
              </w:rPr>
              <w:t>招就处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jc w:val="center"/>
        </w:trPr>
        <w:tc>
          <w:tcPr>
            <w:tcW w:w="1417" w:type="dxa"/>
            <w:vMerge w:val="continue"/>
            <w:vAlign w:val="center"/>
          </w:tcPr>
          <w:p>
            <w:pPr>
              <w:autoSpaceDE w:val="0"/>
              <w:autoSpaceDN w:val="0"/>
              <w:jc w:val="center"/>
              <w:rPr>
                <w:rFonts w:ascii="仿宋" w:hAnsi="仿宋" w:eastAsia="仿宋" w:cs="仿宋"/>
                <w:kern w:val="0"/>
                <w:sz w:val="24"/>
                <w:lang w:val="zh-CN" w:eastAsia="en-US" w:bidi="zh-CN"/>
              </w:rPr>
            </w:pPr>
          </w:p>
        </w:tc>
        <w:tc>
          <w:tcPr>
            <w:tcW w:w="705" w:type="dxa"/>
            <w:vMerge w:val="continue"/>
            <w:vAlign w:val="center"/>
          </w:tcPr>
          <w:p>
            <w:pPr>
              <w:autoSpaceDE w:val="0"/>
              <w:autoSpaceDN w:val="0"/>
              <w:jc w:val="center"/>
              <w:rPr>
                <w:rFonts w:ascii="仿宋" w:hAnsi="仿宋" w:eastAsia="仿宋" w:cs="仿宋"/>
                <w:kern w:val="0"/>
                <w:sz w:val="24"/>
                <w:lang w:val="zh-CN" w:eastAsia="en-US" w:bidi="zh-CN"/>
              </w:rPr>
            </w:pPr>
          </w:p>
        </w:tc>
        <w:tc>
          <w:tcPr>
            <w:tcW w:w="1559" w:type="dxa"/>
            <w:vMerge w:val="continue"/>
            <w:vAlign w:val="center"/>
          </w:tcPr>
          <w:p>
            <w:pPr>
              <w:autoSpaceDE w:val="0"/>
              <w:autoSpaceDN w:val="0"/>
              <w:jc w:val="center"/>
              <w:rPr>
                <w:rFonts w:ascii="仿宋" w:hAnsi="仿宋" w:eastAsia="仿宋" w:cs="仿宋"/>
                <w:kern w:val="0"/>
                <w:sz w:val="24"/>
                <w:lang w:val="zh-CN" w:eastAsia="en-US" w:bidi="zh-CN"/>
              </w:rPr>
            </w:pPr>
          </w:p>
        </w:tc>
        <w:tc>
          <w:tcPr>
            <w:tcW w:w="8221" w:type="dxa"/>
            <w:vAlign w:val="center"/>
          </w:tcPr>
          <w:p>
            <w:pPr>
              <w:autoSpaceDE w:val="0"/>
              <w:autoSpaceDN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8.2.2近2年学校没有因知识产权等资产保护不力发生资产重大流失或者损失情况（1分）</w:t>
            </w:r>
          </w:p>
        </w:tc>
        <w:tc>
          <w:tcPr>
            <w:tcW w:w="1418" w:type="dxa"/>
            <w:vMerge w:val="restart"/>
            <w:tcBorders>
              <w:bottom w:val="nil"/>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抽查相关资料；座谈或问卷调查</w:t>
            </w:r>
          </w:p>
        </w:tc>
        <w:tc>
          <w:tcPr>
            <w:tcW w:w="1984" w:type="dxa"/>
            <w:tcBorders>
              <w:bottom w:val="single" w:color="auto" w:sz="4" w:space="0"/>
              <w:right w:val="single" w:color="auto" w:sz="4" w:space="0"/>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科技处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国资处</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sz w:val="24"/>
                <w:lang w:eastAsia="en-US" w:bidi="zh-CN"/>
              </w:rPr>
              <w:t>产业办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jc w:val="center"/>
        </w:trPr>
        <w:tc>
          <w:tcPr>
            <w:tcW w:w="1417" w:type="dxa"/>
            <w:vMerge w:val="continue"/>
            <w:vAlign w:val="center"/>
          </w:tcPr>
          <w:p>
            <w:pPr>
              <w:autoSpaceDE w:val="0"/>
              <w:autoSpaceDN w:val="0"/>
              <w:jc w:val="center"/>
              <w:rPr>
                <w:rFonts w:ascii="仿宋" w:hAnsi="仿宋" w:eastAsia="仿宋" w:cs="仿宋"/>
                <w:kern w:val="0"/>
                <w:sz w:val="24"/>
                <w:lang w:val="zh-CN" w:eastAsia="en-US" w:bidi="zh-CN"/>
              </w:rPr>
            </w:pPr>
          </w:p>
        </w:tc>
        <w:tc>
          <w:tcPr>
            <w:tcW w:w="705" w:type="dxa"/>
            <w:vMerge w:val="continue"/>
            <w:vAlign w:val="center"/>
          </w:tcPr>
          <w:p>
            <w:pPr>
              <w:autoSpaceDE w:val="0"/>
              <w:autoSpaceDN w:val="0"/>
              <w:jc w:val="center"/>
              <w:rPr>
                <w:rFonts w:ascii="仿宋" w:hAnsi="仿宋" w:eastAsia="仿宋" w:cs="仿宋"/>
                <w:kern w:val="0"/>
                <w:sz w:val="24"/>
                <w:lang w:val="zh-CN" w:eastAsia="en-US" w:bidi="zh-CN"/>
              </w:rPr>
            </w:pPr>
          </w:p>
        </w:tc>
        <w:tc>
          <w:tcPr>
            <w:tcW w:w="1559" w:type="dxa"/>
            <w:vMerge w:val="continue"/>
            <w:vAlign w:val="center"/>
          </w:tcPr>
          <w:p>
            <w:pPr>
              <w:autoSpaceDE w:val="0"/>
              <w:autoSpaceDN w:val="0"/>
              <w:jc w:val="center"/>
              <w:rPr>
                <w:rFonts w:ascii="仿宋" w:hAnsi="仿宋" w:eastAsia="仿宋" w:cs="仿宋"/>
                <w:kern w:val="0"/>
                <w:sz w:val="24"/>
                <w:lang w:val="zh-CN" w:eastAsia="en-US" w:bidi="zh-CN"/>
              </w:rPr>
            </w:pPr>
          </w:p>
        </w:tc>
        <w:tc>
          <w:tcPr>
            <w:tcW w:w="8221" w:type="dxa"/>
            <w:tcBorders>
              <w:bottom w:val="single" w:color="auto" w:sz="4" w:space="0"/>
            </w:tcBorders>
            <w:vAlign w:val="center"/>
          </w:tcPr>
          <w:p>
            <w:pPr>
              <w:autoSpaceDE w:val="0"/>
              <w:autoSpaceDN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8.2.3近2年学校没有因合同管理不规范或因合同审查存在明显漏洞导致违约或败诉赔偿（1分）</w:t>
            </w:r>
          </w:p>
        </w:tc>
        <w:tc>
          <w:tcPr>
            <w:tcW w:w="1418" w:type="dxa"/>
            <w:vMerge w:val="continue"/>
            <w:tcBorders>
              <w:top w:val="nil"/>
              <w:bottom w:val="single" w:color="auto" w:sz="4" w:space="0"/>
            </w:tcBorders>
          </w:tcPr>
          <w:p>
            <w:pPr>
              <w:autoSpaceDE w:val="0"/>
              <w:autoSpaceDN w:val="0"/>
              <w:jc w:val="center"/>
              <w:rPr>
                <w:rFonts w:ascii="仿宋" w:hAnsi="仿宋" w:eastAsia="仿宋" w:cs="仿宋"/>
                <w:kern w:val="0"/>
                <w:sz w:val="24"/>
                <w:lang w:val="zh-CN" w:eastAsia="en-US" w:bidi="zh-CN"/>
              </w:rPr>
            </w:pPr>
          </w:p>
        </w:tc>
        <w:tc>
          <w:tcPr>
            <w:tcW w:w="1984" w:type="dxa"/>
            <w:tcBorders>
              <w:top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党办、校办</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财务处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国资处</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eastAsia="en-US" w:bidi="zh-CN"/>
              </w:rPr>
              <w:t>审计处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1417" w:type="dxa"/>
            <w:vMerge w:val="continue"/>
            <w:vAlign w:val="center"/>
          </w:tcPr>
          <w:p>
            <w:pPr>
              <w:autoSpaceDE w:val="0"/>
              <w:autoSpaceDN w:val="0"/>
              <w:jc w:val="center"/>
              <w:rPr>
                <w:rFonts w:ascii="仿宋" w:hAnsi="仿宋" w:eastAsia="仿宋" w:cs="仿宋"/>
                <w:kern w:val="0"/>
                <w:sz w:val="24"/>
                <w:lang w:val="zh-CN" w:eastAsia="en-US" w:bidi="zh-CN"/>
              </w:rPr>
            </w:pPr>
          </w:p>
        </w:tc>
        <w:tc>
          <w:tcPr>
            <w:tcW w:w="705" w:type="dxa"/>
            <w:vMerge w:val="continue"/>
            <w:vAlign w:val="center"/>
          </w:tcPr>
          <w:p>
            <w:pPr>
              <w:autoSpaceDE w:val="0"/>
              <w:autoSpaceDN w:val="0"/>
              <w:jc w:val="center"/>
              <w:rPr>
                <w:rFonts w:ascii="仿宋" w:hAnsi="仿宋" w:eastAsia="仿宋" w:cs="仿宋"/>
                <w:kern w:val="0"/>
                <w:sz w:val="24"/>
                <w:lang w:val="zh-CN" w:eastAsia="en-US" w:bidi="zh-CN"/>
              </w:rPr>
            </w:pPr>
          </w:p>
        </w:tc>
        <w:tc>
          <w:tcPr>
            <w:tcW w:w="1559" w:type="dxa"/>
            <w:vMerge w:val="continue"/>
            <w:vAlign w:val="center"/>
          </w:tcPr>
          <w:p>
            <w:pPr>
              <w:autoSpaceDE w:val="0"/>
              <w:autoSpaceDN w:val="0"/>
              <w:jc w:val="center"/>
              <w:rPr>
                <w:rFonts w:ascii="仿宋" w:hAnsi="仿宋" w:eastAsia="仿宋" w:cs="仿宋"/>
                <w:kern w:val="0"/>
                <w:sz w:val="24"/>
                <w:lang w:val="zh-CN" w:eastAsia="en-US" w:bidi="zh-CN"/>
              </w:rPr>
            </w:pPr>
          </w:p>
        </w:tc>
        <w:tc>
          <w:tcPr>
            <w:tcW w:w="8221" w:type="dxa"/>
            <w:tcBorders>
              <w:top w:val="single" w:color="auto" w:sz="4" w:space="0"/>
              <w:bottom w:val="single" w:color="auto" w:sz="4" w:space="0"/>
            </w:tcBorders>
            <w:vAlign w:val="center"/>
          </w:tcPr>
          <w:p>
            <w:pPr>
              <w:autoSpaceDE w:val="0"/>
              <w:autoSpaceDN w:val="0"/>
              <w:ind w:hanging="21"/>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8.2.4近2年学校没有因教职工聘用合同管理不善或合同中有明显侵害教职工合法权益的条款而产生人事、劳动纠纷，导致败诉或者主管部门追责的情况（1分）</w:t>
            </w:r>
          </w:p>
        </w:tc>
        <w:tc>
          <w:tcPr>
            <w:tcW w:w="1418" w:type="dxa"/>
            <w:vMerge w:val="continue"/>
            <w:tcBorders>
              <w:top w:val="single" w:color="auto" w:sz="4" w:space="0"/>
              <w:bottom w:val="single" w:color="auto" w:sz="4" w:space="0"/>
            </w:tcBorders>
          </w:tcPr>
          <w:p>
            <w:pPr>
              <w:autoSpaceDE w:val="0"/>
              <w:autoSpaceDN w:val="0"/>
              <w:jc w:val="center"/>
              <w:rPr>
                <w:rFonts w:ascii="仿宋" w:hAnsi="仿宋" w:eastAsia="仿宋" w:cs="仿宋"/>
                <w:kern w:val="0"/>
                <w:sz w:val="24"/>
                <w:lang w:val="zh-CN" w:eastAsia="en-US" w:bidi="zh-CN"/>
              </w:rPr>
            </w:pPr>
          </w:p>
        </w:tc>
        <w:tc>
          <w:tcPr>
            <w:tcW w:w="1984" w:type="dxa"/>
            <w:tcBorders>
              <w:top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人事处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008" w:hRule="atLeast"/>
          <w:jc w:val="center"/>
        </w:trPr>
        <w:tc>
          <w:tcPr>
            <w:tcW w:w="1417" w:type="dxa"/>
            <w:vMerge w:val="restart"/>
            <w:tcBorders>
              <w:top w:val="single" w:color="auto" w:sz="4" w:space="0"/>
              <w:bottom w:val="nil"/>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8.法治工作成效（16分）</w:t>
            </w:r>
          </w:p>
        </w:tc>
        <w:tc>
          <w:tcPr>
            <w:tcW w:w="705" w:type="dxa"/>
            <w:vMerge w:val="restart"/>
            <w:tcBorders>
              <w:bottom w:val="nil"/>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8.3</w:t>
            </w:r>
          </w:p>
        </w:tc>
        <w:tc>
          <w:tcPr>
            <w:tcW w:w="1559" w:type="dxa"/>
            <w:vMerge w:val="restart"/>
            <w:tcBorders>
              <w:bottom w:val="nil"/>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教师、学生法律意识较强</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（4分）</w:t>
            </w:r>
          </w:p>
        </w:tc>
        <w:tc>
          <w:tcPr>
            <w:tcW w:w="8221" w:type="dxa"/>
            <w:vAlign w:val="center"/>
          </w:tcPr>
          <w:p>
            <w:pPr>
              <w:autoSpaceDE w:val="0"/>
              <w:autoSpaceDN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8.3.1近2年教师、学生无贩毒、吸毒等涉毒违法犯罪和其他重大刑事犯罪行为（1分）</w:t>
            </w:r>
          </w:p>
        </w:tc>
        <w:tc>
          <w:tcPr>
            <w:tcW w:w="1418" w:type="dxa"/>
            <w:vMerge w:val="restart"/>
            <w:tcBorders>
              <w:bottom w:val="nil"/>
              <w:right w:val="single" w:color="auto" w:sz="4" w:space="0"/>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抽查相关资料；座谈或问卷调查</w:t>
            </w:r>
          </w:p>
        </w:tc>
        <w:tc>
          <w:tcPr>
            <w:tcW w:w="1984" w:type="dxa"/>
            <w:tcBorders>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教师工作部</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学工部</w:t>
            </w:r>
          </w:p>
          <w:p>
            <w:pPr>
              <w:autoSpaceDE w:val="0"/>
              <w:autoSpaceDN w:val="0"/>
              <w:ind w:firstLine="235" w:firstLineChars="98"/>
              <w:jc w:val="center"/>
              <w:rPr>
                <w:rFonts w:ascii="仿宋" w:hAnsi="仿宋" w:eastAsia="仿宋" w:cs="仿宋"/>
                <w:sz w:val="24"/>
                <w:lang w:eastAsia="en-US" w:bidi="zh-CN"/>
              </w:rPr>
            </w:pPr>
            <w:r>
              <w:rPr>
                <w:rFonts w:hint="eastAsia" w:ascii="仿宋" w:hAnsi="仿宋" w:eastAsia="仿宋" w:cs="仿宋"/>
                <w:sz w:val="24"/>
                <w:lang w:eastAsia="en-US" w:bidi="zh-CN"/>
              </w:rPr>
              <w:t>研究生工作部</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保卫处</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国教院</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高职院</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继教院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val="zh-CN" w:eastAsia="en-US" w:bidi="zh-CN"/>
              </w:rPr>
              <w:t>护理学院</w:t>
            </w:r>
          </w:p>
          <w:p>
            <w:pPr>
              <w:autoSpaceDE w:val="0"/>
              <w:autoSpaceDN w:val="0"/>
              <w:jc w:val="center"/>
              <w:rPr>
                <w:rFonts w:ascii="仿宋" w:hAnsi="仿宋" w:eastAsia="仿宋" w:cs="仿宋"/>
                <w:sz w:val="24"/>
                <w:lang w:val="zh-CN" w:eastAsia="en-US" w:bidi="zh-CN"/>
              </w:rPr>
            </w:pPr>
            <w:r>
              <w:rPr>
                <w:rFonts w:hint="eastAsia" w:ascii="仿宋" w:hAnsi="仿宋" w:eastAsia="仿宋" w:cs="仿宋"/>
                <w:kern w:val="0"/>
                <w:sz w:val="24"/>
                <w:lang w:val="zh-CN" w:eastAsia="en-US" w:bidi="zh-CN"/>
              </w:rPr>
              <w:t>玉林校区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417" w:type="dxa"/>
            <w:vMerge w:val="continue"/>
            <w:tcBorders>
              <w:top w:val="nil"/>
              <w:bottom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705" w:type="dxa"/>
            <w:vMerge w:val="continue"/>
            <w:tcBorders>
              <w:top w:val="nil"/>
              <w:bottom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1559" w:type="dxa"/>
            <w:vMerge w:val="continue"/>
            <w:tcBorders>
              <w:top w:val="nil"/>
              <w:bottom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8221" w:type="dxa"/>
            <w:vAlign w:val="center"/>
          </w:tcPr>
          <w:p>
            <w:pPr>
              <w:autoSpaceDE w:val="0"/>
              <w:autoSpaceDN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8.3.2近2年师生无加入邪教情况，校园无宗教传教情况（1分）</w:t>
            </w:r>
          </w:p>
        </w:tc>
        <w:tc>
          <w:tcPr>
            <w:tcW w:w="1418" w:type="dxa"/>
            <w:vMerge w:val="continue"/>
            <w:tcBorders>
              <w:top w:val="nil"/>
              <w:bottom w:val="single" w:color="auto" w:sz="4" w:space="0"/>
              <w:right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sz w:val="24"/>
                <w:lang w:eastAsia="en-US" w:bidi="zh-CN"/>
              </w:rPr>
              <w:t>统战部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1417" w:type="dxa"/>
            <w:vMerge w:val="continue"/>
            <w:tcBorders>
              <w:top w:val="single" w:color="auto" w:sz="4" w:space="0"/>
              <w:bottom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705" w:type="dxa"/>
            <w:vMerge w:val="continue"/>
            <w:tcBorders>
              <w:top w:val="single" w:color="auto" w:sz="4" w:space="0"/>
              <w:bottom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1559" w:type="dxa"/>
            <w:vMerge w:val="continue"/>
            <w:tcBorders>
              <w:top w:val="single" w:color="auto" w:sz="4" w:space="0"/>
              <w:bottom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8221" w:type="dxa"/>
            <w:vAlign w:val="center"/>
          </w:tcPr>
          <w:p>
            <w:pPr>
              <w:autoSpaceDE w:val="0"/>
              <w:autoSpaceDN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8.3.3当年没有因教师在履责过程中的违法违规行为以及学生违法违规导致的重大舆情事件。（2分）</w:t>
            </w:r>
          </w:p>
        </w:tc>
        <w:tc>
          <w:tcPr>
            <w:tcW w:w="1418" w:type="dxa"/>
            <w:vMerge w:val="continue"/>
            <w:tcBorders>
              <w:top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1984" w:type="dxa"/>
            <w:tcBorders>
              <w:top w:val="single" w:color="auto" w:sz="4" w:space="0"/>
              <w:left w:val="single" w:color="auto" w:sz="4" w:space="0"/>
              <w:right w:val="single" w:color="auto" w:sz="4" w:space="0"/>
            </w:tcBorders>
            <w:vAlign w:val="center"/>
          </w:tcPr>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宣传部</w:t>
            </w:r>
          </w:p>
          <w:p>
            <w:pPr>
              <w:autoSpaceDE w:val="0"/>
              <w:autoSpaceDN w:val="0"/>
              <w:jc w:val="center"/>
              <w:rPr>
                <w:rFonts w:ascii="仿宋" w:hAnsi="仿宋" w:eastAsia="仿宋" w:cs="仿宋"/>
                <w:sz w:val="24"/>
                <w:lang w:eastAsia="en-US" w:bidi="zh-CN"/>
              </w:rPr>
            </w:pPr>
            <w:r>
              <w:rPr>
                <w:rFonts w:hint="eastAsia" w:ascii="仿宋" w:hAnsi="仿宋" w:eastAsia="仿宋" w:cs="仿宋"/>
                <w:sz w:val="24"/>
                <w:lang w:eastAsia="en-US" w:bidi="zh-CN"/>
              </w:rPr>
              <w:t>教师工作部</w:t>
            </w:r>
          </w:p>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sz w:val="24"/>
                <w:lang w:eastAsia="en-US" w:bidi="zh-CN"/>
              </w:rPr>
              <w:t>各二级学院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1417" w:type="dxa"/>
            <w:vMerge w:val="continue"/>
            <w:tcBorders>
              <w:top w:val="single" w:color="auto" w:sz="4" w:space="0"/>
              <w:bottom w:val="single" w:color="auto" w:sz="4" w:space="0"/>
            </w:tcBorders>
            <w:vAlign w:val="center"/>
          </w:tcPr>
          <w:p>
            <w:pPr>
              <w:autoSpaceDE w:val="0"/>
              <w:autoSpaceDN w:val="0"/>
              <w:jc w:val="center"/>
              <w:rPr>
                <w:rFonts w:ascii="仿宋" w:hAnsi="仿宋" w:eastAsia="仿宋" w:cs="仿宋"/>
                <w:kern w:val="0"/>
                <w:sz w:val="24"/>
                <w:lang w:val="zh-CN" w:eastAsia="en-US" w:bidi="zh-CN"/>
              </w:rPr>
            </w:pPr>
          </w:p>
        </w:tc>
        <w:tc>
          <w:tcPr>
            <w:tcW w:w="705" w:type="dxa"/>
            <w:vMerge w:val="restart"/>
            <w:tcBorders>
              <w:top w:val="single" w:color="auto" w:sz="4" w:space="0"/>
              <w:bottom w:val="single" w:color="auto" w:sz="4" w:space="0"/>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8.4</w:t>
            </w:r>
          </w:p>
        </w:tc>
        <w:tc>
          <w:tcPr>
            <w:tcW w:w="1559" w:type="dxa"/>
            <w:vMerge w:val="restart"/>
            <w:tcBorders>
              <w:top w:val="single" w:color="auto" w:sz="4" w:space="0"/>
              <w:bottom w:val="single" w:color="auto" w:sz="4" w:space="0"/>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校内申诉渠道畅通，及时、有效处理教职工和学生的申诉。（2分）</w:t>
            </w:r>
          </w:p>
        </w:tc>
        <w:tc>
          <w:tcPr>
            <w:tcW w:w="8221" w:type="dxa"/>
            <w:tcBorders>
              <w:bottom w:val="single" w:color="000000" w:sz="2" w:space="0"/>
            </w:tcBorders>
            <w:vAlign w:val="center"/>
          </w:tcPr>
          <w:p>
            <w:pPr>
              <w:autoSpaceDE w:val="0"/>
              <w:autoSpaceDN w:val="0"/>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8.4.1近2年内实际处理教职工申诉案件，校内机制发挥作用，解决率不低于80%（1分）</w:t>
            </w:r>
          </w:p>
        </w:tc>
        <w:tc>
          <w:tcPr>
            <w:tcW w:w="1418" w:type="dxa"/>
            <w:vMerge w:val="restart"/>
            <w:tcBorders>
              <w:top w:val="single" w:color="auto" w:sz="4" w:space="0"/>
              <w:bottom w:val="single" w:color="auto" w:sz="4" w:space="0"/>
            </w:tcBorders>
            <w:vAlign w:val="center"/>
          </w:tcPr>
          <w:p>
            <w:pPr>
              <w:autoSpaceDE w:val="0"/>
              <w:autoSpaceDN w:val="0"/>
              <w:jc w:val="center"/>
              <w:rPr>
                <w:rFonts w:ascii="仿宋" w:hAnsi="仿宋" w:eastAsia="仿宋" w:cs="仿宋"/>
                <w:kern w:val="0"/>
                <w:sz w:val="24"/>
                <w:lang w:val="zh-CN" w:eastAsia="en-US" w:bidi="zh-CN"/>
              </w:rPr>
            </w:pPr>
            <w:r>
              <w:rPr>
                <w:rFonts w:hint="eastAsia" w:ascii="仿宋" w:hAnsi="仿宋" w:eastAsia="仿宋" w:cs="仿宋"/>
                <w:kern w:val="0"/>
                <w:sz w:val="24"/>
                <w:lang w:val="zh-CN" w:eastAsia="en-US" w:bidi="zh-CN"/>
              </w:rPr>
              <w:t>抽查相关资料；座谈或问卷调查</w:t>
            </w:r>
          </w:p>
        </w:tc>
        <w:tc>
          <w:tcPr>
            <w:tcW w:w="1984" w:type="dxa"/>
            <w:tcBorders>
              <w:bottom w:val="single" w:color="000000" w:sz="2" w:space="0"/>
              <w:right w:val="single" w:color="auto" w:sz="4" w:space="0"/>
            </w:tcBorders>
            <w:vAlign w:val="center"/>
          </w:tcPr>
          <w:p>
            <w:pPr>
              <w:autoSpaceDE w:val="0"/>
              <w:autoSpaceDN w:val="0"/>
              <w:jc w:val="center"/>
              <w:rPr>
                <w:rFonts w:ascii="仿宋" w:hAnsi="仿宋" w:eastAsia="仿宋" w:cs="仿宋"/>
                <w:sz w:val="24"/>
                <w:lang w:val="zh-CN" w:eastAsia="en-US" w:bidi="zh-CN"/>
              </w:rPr>
            </w:pPr>
            <w:r>
              <w:rPr>
                <w:rFonts w:hint="eastAsia" w:ascii="仿宋" w:hAnsi="仿宋" w:eastAsia="仿宋" w:cs="仿宋"/>
                <w:sz w:val="24"/>
                <w:lang w:eastAsia="en-US" w:bidi="zh-CN"/>
              </w:rPr>
              <w:t>工会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417" w:type="dxa"/>
            <w:vMerge w:val="continue"/>
            <w:tcBorders>
              <w:top w:val="single" w:color="auto" w:sz="4" w:space="0"/>
              <w:bottom w:val="single" w:color="auto" w:sz="4" w:space="0"/>
            </w:tcBorders>
            <w:vAlign w:val="center"/>
          </w:tcPr>
          <w:p>
            <w:pPr>
              <w:autoSpaceDE w:val="0"/>
              <w:autoSpaceDN w:val="0"/>
              <w:jc w:val="center"/>
              <w:rPr>
                <w:rFonts w:ascii="仿宋" w:hAnsi="仿宋" w:eastAsia="仿宋" w:cs="仿宋"/>
                <w:sz w:val="24"/>
                <w:lang w:eastAsia="en-US"/>
              </w:rPr>
            </w:pPr>
          </w:p>
        </w:tc>
        <w:tc>
          <w:tcPr>
            <w:tcW w:w="705" w:type="dxa"/>
            <w:vMerge w:val="continue"/>
            <w:tcBorders>
              <w:top w:val="single" w:color="auto" w:sz="4" w:space="0"/>
              <w:bottom w:val="single" w:color="auto" w:sz="4" w:space="0"/>
            </w:tcBorders>
            <w:vAlign w:val="center"/>
          </w:tcPr>
          <w:p>
            <w:pPr>
              <w:autoSpaceDE w:val="0"/>
              <w:autoSpaceDN w:val="0"/>
              <w:jc w:val="center"/>
              <w:rPr>
                <w:rFonts w:ascii="仿宋" w:hAnsi="仿宋" w:eastAsia="仿宋" w:cs="仿宋"/>
                <w:sz w:val="24"/>
                <w:lang w:eastAsia="en-US"/>
              </w:rPr>
            </w:pPr>
          </w:p>
        </w:tc>
        <w:tc>
          <w:tcPr>
            <w:tcW w:w="1559" w:type="dxa"/>
            <w:vMerge w:val="continue"/>
            <w:tcBorders>
              <w:top w:val="single" w:color="auto" w:sz="4" w:space="0"/>
              <w:bottom w:val="single" w:color="auto" w:sz="4" w:space="0"/>
            </w:tcBorders>
            <w:vAlign w:val="center"/>
          </w:tcPr>
          <w:p>
            <w:pPr>
              <w:autoSpaceDE w:val="0"/>
              <w:autoSpaceDN w:val="0"/>
              <w:jc w:val="center"/>
              <w:rPr>
                <w:rFonts w:ascii="仿宋" w:hAnsi="仿宋" w:eastAsia="仿宋" w:cs="仿宋"/>
                <w:sz w:val="24"/>
                <w:lang w:eastAsia="en-US"/>
              </w:rPr>
            </w:pPr>
          </w:p>
        </w:tc>
        <w:tc>
          <w:tcPr>
            <w:tcW w:w="8221" w:type="dxa"/>
            <w:vAlign w:val="center"/>
          </w:tcPr>
          <w:p>
            <w:pPr>
              <w:autoSpaceDE w:val="0"/>
              <w:autoSpaceDN w:val="0"/>
              <w:rPr>
                <w:rFonts w:ascii="仿宋" w:hAnsi="仿宋" w:eastAsia="仿宋" w:cs="仿宋"/>
                <w:sz w:val="24"/>
                <w:lang w:eastAsia="en-US"/>
              </w:rPr>
            </w:pPr>
            <w:r>
              <w:rPr>
                <w:rFonts w:hint="eastAsia" w:ascii="仿宋" w:hAnsi="仿宋" w:eastAsia="仿宋" w:cs="仿宋"/>
                <w:kern w:val="0"/>
                <w:sz w:val="24"/>
                <w:lang w:val="zh-CN" w:eastAsia="en-US" w:bidi="zh-CN"/>
              </w:rPr>
              <w:t>8.4.2近2年学生申诉案件校内申诉委员会处理后，解决率不低于80%（1分）</w:t>
            </w:r>
          </w:p>
        </w:tc>
        <w:tc>
          <w:tcPr>
            <w:tcW w:w="1418" w:type="dxa"/>
            <w:vMerge w:val="continue"/>
            <w:tcBorders>
              <w:top w:val="single" w:color="auto" w:sz="4" w:space="0"/>
              <w:bottom w:val="single" w:color="auto" w:sz="4" w:space="0"/>
            </w:tcBorders>
          </w:tcPr>
          <w:p>
            <w:pPr>
              <w:autoSpaceDE w:val="0"/>
              <w:autoSpaceDN w:val="0"/>
              <w:jc w:val="center"/>
              <w:rPr>
                <w:rFonts w:ascii="仿宋" w:hAnsi="仿宋" w:eastAsia="仿宋" w:cs="仿宋"/>
                <w:sz w:val="24"/>
                <w:lang w:eastAsia="en-US"/>
              </w:rPr>
            </w:pPr>
          </w:p>
        </w:tc>
        <w:tc>
          <w:tcPr>
            <w:tcW w:w="1984" w:type="dxa"/>
            <w:tcBorders>
              <w:right w:val="single" w:color="auto" w:sz="4" w:space="0"/>
            </w:tcBorders>
            <w:vAlign w:val="center"/>
          </w:tcPr>
          <w:p>
            <w:pPr>
              <w:autoSpaceDE w:val="0"/>
              <w:autoSpaceDN w:val="0"/>
              <w:jc w:val="center"/>
              <w:rPr>
                <w:rFonts w:ascii="仿宋" w:hAnsi="仿宋" w:eastAsia="仿宋" w:cs="仿宋"/>
                <w:sz w:val="24"/>
                <w:lang w:eastAsia="en-US"/>
              </w:rPr>
            </w:pPr>
            <w:r>
              <w:rPr>
                <w:rFonts w:hint="eastAsia" w:ascii="仿宋" w:hAnsi="仿宋" w:eastAsia="仿宋" w:cs="仿宋"/>
                <w:kern w:val="0"/>
                <w:sz w:val="24"/>
                <w:lang w:val="zh-CN" w:eastAsia="en-US" w:bidi="zh-CN"/>
              </w:rPr>
              <w:t>党校办</w:t>
            </w:r>
          </w:p>
        </w:tc>
      </w:tr>
    </w:tbl>
    <w:p>
      <w:pPr>
        <w:pStyle w:val="3"/>
        <w:spacing w:line="620" w:lineRule="exact"/>
        <w:rPr>
          <w:rFonts w:ascii="宋体" w:hAnsi="宋体" w:eastAsia="宋体"/>
          <w:b/>
          <w:bCs/>
          <w:kern w:val="2"/>
          <w:sz w:val="24"/>
          <w:szCs w:val="24"/>
          <w:lang w:val="en-US" w:bidi="ar-SA"/>
        </w:rPr>
      </w:pPr>
    </w:p>
    <w:p>
      <w:pPr>
        <w:widowControl/>
        <w:spacing w:line="620" w:lineRule="exact"/>
        <w:jc w:val="left"/>
        <w:rPr>
          <w:rFonts w:ascii="宋体" w:hAnsi="宋体" w:eastAsia="宋体" w:cs="仿宋"/>
          <w:b/>
          <w:bCs/>
          <w:sz w:val="24"/>
        </w:rPr>
      </w:pPr>
      <w:r>
        <w:rPr>
          <w:rFonts w:ascii="宋体" w:hAnsi="宋体" w:eastAsia="宋体"/>
          <w:b/>
          <w:bCs/>
          <w:sz w:val="24"/>
        </w:rPr>
        <w:br w:type="page"/>
      </w:r>
    </w:p>
    <w:p>
      <w:pPr>
        <w:pStyle w:val="3"/>
        <w:spacing w:line="620" w:lineRule="exact"/>
        <w:rPr>
          <w:rFonts w:ascii="Times New Roman" w:hAnsi="Times New Roman" w:eastAsia="黑体" w:cs="Times New Roman"/>
          <w:b/>
          <w:bCs/>
          <w:sz w:val="24"/>
          <w:szCs w:val="24"/>
        </w:rPr>
      </w:pPr>
      <w:r>
        <w:rPr>
          <w:rFonts w:ascii="Times New Roman" w:hAnsi="Times New Roman" w:eastAsia="黑体" w:cs="Times New Roman"/>
          <w:b/>
          <w:bCs/>
          <w:sz w:val="24"/>
          <w:szCs w:val="24"/>
        </w:rPr>
        <w:t>附加项：法治工作创新</w:t>
      </w:r>
    </w:p>
    <w:tbl>
      <w:tblPr>
        <w:tblStyle w:val="15"/>
        <w:tblpPr w:leftFromText="181" w:rightFromText="181" w:vertAnchor="page" w:horzAnchor="margin" w:tblpXSpec="center" w:tblpY="2311"/>
        <w:tblOverlap w:val="never"/>
        <w:tblW w:w="14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2908"/>
        <w:gridCol w:w="6877"/>
        <w:gridCol w:w="1985"/>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83" w:type="dxa"/>
            <w:vAlign w:val="center"/>
          </w:tcPr>
          <w:p>
            <w:pPr>
              <w:pStyle w:val="16"/>
              <w:jc w:val="center"/>
              <w:rPr>
                <w:rFonts w:ascii="黑体" w:hAnsi="黑体" w:eastAsia="黑体" w:cs="黑体"/>
                <w:bCs/>
                <w:sz w:val="24"/>
                <w:szCs w:val="24"/>
                <w:lang w:eastAsia="en-US"/>
              </w:rPr>
            </w:pPr>
            <w:r>
              <w:rPr>
                <w:rFonts w:hint="eastAsia" w:ascii="黑体" w:hAnsi="黑体" w:eastAsia="黑体" w:cs="黑体"/>
                <w:bCs/>
                <w:sz w:val="24"/>
                <w:szCs w:val="24"/>
                <w:lang w:eastAsia="en-US"/>
              </w:rPr>
              <w:t>序号</w:t>
            </w:r>
          </w:p>
        </w:tc>
        <w:tc>
          <w:tcPr>
            <w:tcW w:w="2908" w:type="dxa"/>
            <w:vAlign w:val="center"/>
          </w:tcPr>
          <w:p>
            <w:pPr>
              <w:pStyle w:val="16"/>
              <w:jc w:val="center"/>
              <w:rPr>
                <w:rFonts w:ascii="黑体" w:hAnsi="黑体" w:eastAsia="黑体" w:cs="黑体"/>
                <w:bCs/>
                <w:sz w:val="24"/>
                <w:szCs w:val="24"/>
                <w:lang w:eastAsia="en-US"/>
              </w:rPr>
            </w:pPr>
            <w:r>
              <w:rPr>
                <w:rFonts w:hint="eastAsia" w:ascii="黑体" w:hAnsi="黑体" w:eastAsia="黑体" w:cs="黑体"/>
                <w:bCs/>
                <w:sz w:val="24"/>
                <w:szCs w:val="24"/>
                <w:lang w:eastAsia="en-US"/>
              </w:rPr>
              <w:t>一级指标</w:t>
            </w:r>
          </w:p>
        </w:tc>
        <w:tc>
          <w:tcPr>
            <w:tcW w:w="6877" w:type="dxa"/>
            <w:vAlign w:val="center"/>
          </w:tcPr>
          <w:p>
            <w:pPr>
              <w:pStyle w:val="16"/>
              <w:jc w:val="center"/>
              <w:rPr>
                <w:rFonts w:ascii="黑体" w:hAnsi="黑体" w:eastAsia="黑体" w:cs="黑体"/>
                <w:bCs/>
                <w:sz w:val="24"/>
                <w:szCs w:val="24"/>
                <w:lang w:eastAsia="en-US"/>
              </w:rPr>
            </w:pPr>
            <w:r>
              <w:rPr>
                <w:rFonts w:hint="eastAsia" w:ascii="黑体" w:hAnsi="黑体" w:eastAsia="黑体" w:cs="黑体"/>
                <w:bCs/>
                <w:sz w:val="24"/>
                <w:szCs w:val="24"/>
                <w:lang w:eastAsia="en-US"/>
              </w:rPr>
              <w:t>二级指标（评分点）</w:t>
            </w:r>
          </w:p>
        </w:tc>
        <w:tc>
          <w:tcPr>
            <w:tcW w:w="1985" w:type="dxa"/>
            <w:vAlign w:val="center"/>
          </w:tcPr>
          <w:p>
            <w:pPr>
              <w:autoSpaceDE w:val="0"/>
              <w:autoSpaceDN w:val="0"/>
              <w:jc w:val="center"/>
              <w:rPr>
                <w:rFonts w:ascii="黑体" w:hAnsi="黑体" w:eastAsia="黑体" w:cs="黑体"/>
                <w:bCs/>
                <w:kern w:val="0"/>
                <w:sz w:val="24"/>
                <w:lang w:val="zh-CN" w:eastAsia="en-US" w:bidi="zh-CN"/>
              </w:rPr>
            </w:pPr>
            <w:r>
              <w:rPr>
                <w:rFonts w:hint="eastAsia" w:ascii="黑体" w:hAnsi="黑体" w:eastAsia="黑体" w:cs="黑体"/>
                <w:bCs/>
                <w:kern w:val="0"/>
                <w:sz w:val="24"/>
                <w:lang w:val="zh-CN" w:eastAsia="en-US" w:bidi="zh-CN"/>
              </w:rPr>
              <w:t>评估检查方法</w:t>
            </w:r>
          </w:p>
        </w:tc>
        <w:tc>
          <w:tcPr>
            <w:tcW w:w="1984" w:type="dxa"/>
            <w:vAlign w:val="center"/>
          </w:tcPr>
          <w:p>
            <w:pPr>
              <w:pStyle w:val="16"/>
              <w:jc w:val="center"/>
              <w:rPr>
                <w:rFonts w:ascii="黑体" w:hAnsi="黑体" w:eastAsia="黑体" w:cs="黑体"/>
                <w:bCs/>
                <w:sz w:val="24"/>
                <w:szCs w:val="24"/>
                <w:lang w:eastAsia="en-US"/>
              </w:rPr>
            </w:pPr>
            <w:r>
              <w:rPr>
                <w:rFonts w:hint="eastAsia" w:ascii="黑体" w:hAnsi="黑体" w:eastAsia="黑体" w:cs="黑体"/>
                <w:bCs/>
                <w:sz w:val="24"/>
                <w:szCs w:val="24"/>
                <w:lang w:eastAsia="en-US"/>
              </w:rPr>
              <w:t>责任单位</w:t>
            </w:r>
          </w:p>
          <w:p>
            <w:pPr>
              <w:pStyle w:val="16"/>
              <w:jc w:val="center"/>
              <w:rPr>
                <w:rFonts w:ascii="黑体" w:hAnsi="黑体" w:eastAsia="黑体" w:cs="黑体"/>
                <w:bCs/>
                <w:sz w:val="24"/>
                <w:szCs w:val="24"/>
                <w:lang w:eastAsia="en-US"/>
              </w:rPr>
            </w:pPr>
            <w:r>
              <w:rPr>
                <w:rFonts w:hint="eastAsia" w:ascii="黑体" w:hAnsi="黑体" w:eastAsia="黑体" w:cs="黑体"/>
                <w:bCs/>
                <w:sz w:val="24"/>
                <w:szCs w:val="24"/>
                <w:lang w:eastAsia="en-US"/>
              </w:rPr>
              <w:t>（涉及多单位的，依职责办理）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983"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1</w:t>
            </w:r>
          </w:p>
        </w:tc>
        <w:tc>
          <w:tcPr>
            <w:tcW w:w="2908"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修订章程（1分）</w:t>
            </w:r>
          </w:p>
        </w:tc>
        <w:tc>
          <w:tcPr>
            <w:tcW w:w="6877"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1.1 根据改革与实践要求按程序积极及时修订学校章程</w:t>
            </w:r>
          </w:p>
        </w:tc>
        <w:tc>
          <w:tcPr>
            <w:tcW w:w="1985" w:type="dxa"/>
            <w:vAlign w:val="center"/>
          </w:tcPr>
          <w:p>
            <w:pPr>
              <w:autoSpaceDE w:val="0"/>
              <w:autoSpaceDN w:val="0"/>
              <w:jc w:val="center"/>
              <w:rPr>
                <w:rFonts w:ascii="仿宋" w:hAnsi="仿宋" w:eastAsia="仿宋" w:cs="仿宋"/>
                <w:bCs/>
                <w:kern w:val="0"/>
                <w:sz w:val="24"/>
                <w:lang w:val="zh-CN" w:eastAsia="en-US" w:bidi="zh-CN"/>
              </w:rPr>
            </w:pPr>
            <w:r>
              <w:rPr>
                <w:rFonts w:hint="eastAsia" w:ascii="仿宋" w:hAnsi="仿宋" w:eastAsia="仿宋" w:cs="仿宋"/>
                <w:bCs/>
                <w:kern w:val="0"/>
                <w:sz w:val="24"/>
                <w:lang w:val="zh-CN" w:eastAsia="en-US" w:bidi="zh-CN"/>
              </w:rPr>
              <w:t>抽查相关资料。</w:t>
            </w:r>
          </w:p>
        </w:tc>
        <w:tc>
          <w:tcPr>
            <w:tcW w:w="1984"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发展规划处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983"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2</w:t>
            </w:r>
          </w:p>
        </w:tc>
        <w:tc>
          <w:tcPr>
            <w:tcW w:w="2908"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探索开展师生法律服务或援助工作（1分）</w:t>
            </w:r>
          </w:p>
        </w:tc>
        <w:tc>
          <w:tcPr>
            <w:tcW w:w="6877"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2.1 明确机构或者安排专业人员承担师生法律服务或援助工作，为师生提供法律咨询或者服务</w:t>
            </w:r>
          </w:p>
        </w:tc>
        <w:tc>
          <w:tcPr>
            <w:tcW w:w="1985"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抽查相关资料；</w:t>
            </w:r>
          </w:p>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座谈或问卷调查</w:t>
            </w:r>
          </w:p>
        </w:tc>
        <w:tc>
          <w:tcPr>
            <w:tcW w:w="1984"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jc w:val="center"/>
        </w:trPr>
        <w:tc>
          <w:tcPr>
            <w:tcW w:w="983"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3</w:t>
            </w:r>
          </w:p>
        </w:tc>
        <w:tc>
          <w:tcPr>
            <w:tcW w:w="2908"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创新风险分担机制</w:t>
            </w:r>
          </w:p>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（2分）</w:t>
            </w:r>
          </w:p>
        </w:tc>
        <w:tc>
          <w:tcPr>
            <w:tcW w:w="6877"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3.1 通过校方责任险、综合险等途径，健全学校安全事故风险分担机制。（2分）</w:t>
            </w:r>
          </w:p>
        </w:tc>
        <w:tc>
          <w:tcPr>
            <w:tcW w:w="1985" w:type="dxa"/>
            <w:vAlign w:val="center"/>
          </w:tcPr>
          <w:p>
            <w:pPr>
              <w:autoSpaceDE w:val="0"/>
              <w:autoSpaceDN w:val="0"/>
              <w:jc w:val="center"/>
              <w:rPr>
                <w:rFonts w:ascii="仿宋" w:hAnsi="仿宋" w:eastAsia="仿宋" w:cs="仿宋"/>
                <w:bCs/>
                <w:kern w:val="0"/>
                <w:sz w:val="24"/>
                <w:lang w:val="zh-CN" w:eastAsia="en-US" w:bidi="zh-CN"/>
              </w:rPr>
            </w:pPr>
            <w:r>
              <w:rPr>
                <w:rFonts w:hint="eastAsia" w:ascii="仿宋" w:hAnsi="仿宋" w:eastAsia="仿宋" w:cs="仿宋"/>
                <w:bCs/>
                <w:kern w:val="0"/>
                <w:sz w:val="24"/>
                <w:lang w:val="zh-CN" w:eastAsia="en-US" w:bidi="zh-CN"/>
              </w:rPr>
              <w:t>抽查相关资料；</w:t>
            </w:r>
          </w:p>
          <w:p>
            <w:pPr>
              <w:autoSpaceDE w:val="0"/>
              <w:autoSpaceDN w:val="0"/>
              <w:jc w:val="center"/>
              <w:rPr>
                <w:rFonts w:ascii="仿宋" w:hAnsi="仿宋" w:eastAsia="仿宋" w:cs="仿宋"/>
                <w:bCs/>
                <w:kern w:val="0"/>
                <w:sz w:val="24"/>
                <w:lang w:val="zh-CN" w:eastAsia="en-US" w:bidi="zh-CN"/>
              </w:rPr>
            </w:pPr>
            <w:r>
              <w:rPr>
                <w:rFonts w:hint="eastAsia" w:ascii="仿宋" w:hAnsi="仿宋" w:eastAsia="仿宋" w:cs="仿宋"/>
                <w:bCs/>
                <w:kern w:val="0"/>
                <w:sz w:val="24"/>
                <w:lang w:val="zh-CN" w:eastAsia="en-US" w:bidi="zh-CN"/>
              </w:rPr>
              <w:t>座谈或问卷调查</w:t>
            </w:r>
          </w:p>
        </w:tc>
        <w:tc>
          <w:tcPr>
            <w:tcW w:w="1984"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学工部</w:t>
            </w:r>
          </w:p>
          <w:p>
            <w:pPr>
              <w:autoSpaceDE w:val="0"/>
              <w:autoSpaceDN w:val="0"/>
              <w:jc w:val="center"/>
              <w:rPr>
                <w:rFonts w:ascii="仿宋" w:hAnsi="仿宋" w:eastAsia="仿宋" w:cs="仿宋"/>
                <w:bCs/>
                <w:sz w:val="24"/>
                <w:lang w:eastAsia="en-US" w:bidi="zh-CN"/>
              </w:rPr>
            </w:pPr>
            <w:r>
              <w:rPr>
                <w:rFonts w:hint="eastAsia" w:ascii="仿宋" w:hAnsi="仿宋" w:eastAsia="仿宋" w:cs="仿宋"/>
                <w:bCs/>
                <w:sz w:val="24"/>
                <w:lang w:eastAsia="en-US" w:bidi="zh-CN"/>
              </w:rPr>
              <w:t>研究生工作部</w:t>
            </w:r>
          </w:p>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保卫处</w:t>
            </w:r>
          </w:p>
          <w:p>
            <w:pPr>
              <w:autoSpaceDE w:val="0"/>
              <w:autoSpaceDN w:val="0"/>
              <w:jc w:val="center"/>
              <w:rPr>
                <w:rFonts w:ascii="仿宋" w:hAnsi="仿宋" w:eastAsia="仿宋" w:cs="仿宋"/>
                <w:bCs/>
                <w:sz w:val="24"/>
                <w:lang w:eastAsia="en-US" w:bidi="zh-CN"/>
              </w:rPr>
            </w:pPr>
            <w:r>
              <w:rPr>
                <w:rFonts w:hint="eastAsia" w:ascii="仿宋" w:hAnsi="仿宋" w:eastAsia="仿宋" w:cs="仿宋"/>
                <w:bCs/>
                <w:sz w:val="24"/>
                <w:lang w:eastAsia="en-US" w:bidi="zh-CN"/>
              </w:rPr>
              <w:t>国教院</w:t>
            </w:r>
          </w:p>
          <w:p>
            <w:pPr>
              <w:autoSpaceDE w:val="0"/>
              <w:autoSpaceDN w:val="0"/>
              <w:jc w:val="center"/>
              <w:rPr>
                <w:rFonts w:ascii="仿宋" w:hAnsi="仿宋" w:eastAsia="仿宋" w:cs="仿宋"/>
                <w:bCs/>
                <w:sz w:val="24"/>
                <w:lang w:eastAsia="en-US" w:bidi="zh-CN"/>
              </w:rPr>
            </w:pPr>
            <w:r>
              <w:rPr>
                <w:rFonts w:hint="eastAsia" w:ascii="仿宋" w:hAnsi="仿宋" w:eastAsia="仿宋" w:cs="仿宋"/>
                <w:bCs/>
                <w:sz w:val="24"/>
                <w:lang w:eastAsia="en-US" w:bidi="zh-CN"/>
              </w:rPr>
              <w:t>高职院</w:t>
            </w:r>
          </w:p>
          <w:p>
            <w:pPr>
              <w:autoSpaceDE w:val="0"/>
              <w:autoSpaceDN w:val="0"/>
              <w:jc w:val="center"/>
              <w:rPr>
                <w:rFonts w:ascii="仿宋" w:hAnsi="仿宋" w:eastAsia="仿宋" w:cs="仿宋"/>
                <w:bCs/>
                <w:sz w:val="24"/>
                <w:lang w:eastAsia="en-US" w:bidi="zh-CN"/>
              </w:rPr>
            </w:pPr>
            <w:r>
              <w:rPr>
                <w:rFonts w:hint="eastAsia" w:ascii="仿宋" w:hAnsi="仿宋" w:eastAsia="仿宋" w:cs="仿宋"/>
                <w:bCs/>
                <w:sz w:val="24"/>
                <w:lang w:eastAsia="en-US" w:bidi="zh-CN"/>
              </w:rPr>
              <w:t>继教院</w:t>
            </w:r>
          </w:p>
          <w:p>
            <w:pPr>
              <w:autoSpaceDE w:val="0"/>
              <w:autoSpaceDN w:val="0"/>
              <w:jc w:val="center"/>
              <w:rPr>
                <w:rFonts w:ascii="仿宋" w:hAnsi="仿宋" w:eastAsia="仿宋" w:cs="仿宋"/>
                <w:bCs/>
                <w:sz w:val="24"/>
                <w:lang w:val="zh-CN" w:eastAsia="en-US" w:bidi="zh-CN"/>
              </w:rPr>
            </w:pPr>
            <w:r>
              <w:rPr>
                <w:rFonts w:hint="eastAsia" w:ascii="仿宋" w:hAnsi="仿宋" w:eastAsia="仿宋" w:cs="仿宋"/>
                <w:bCs/>
                <w:sz w:val="24"/>
                <w:lang w:val="zh-CN" w:eastAsia="en-US" w:bidi="zh-CN"/>
              </w:rPr>
              <w:t>护理学院</w:t>
            </w:r>
          </w:p>
          <w:p>
            <w:pPr>
              <w:autoSpaceDE w:val="0"/>
              <w:autoSpaceDN w:val="0"/>
              <w:jc w:val="center"/>
              <w:rPr>
                <w:rFonts w:ascii="仿宋" w:hAnsi="仿宋" w:eastAsia="仿宋" w:cs="仿宋"/>
                <w:bCs/>
                <w:sz w:val="24"/>
                <w:lang w:eastAsia="en-US"/>
              </w:rPr>
            </w:pPr>
            <w:r>
              <w:rPr>
                <w:rFonts w:hint="eastAsia" w:ascii="仿宋" w:hAnsi="仿宋" w:eastAsia="仿宋" w:cs="仿宋"/>
                <w:bCs/>
                <w:kern w:val="0"/>
                <w:sz w:val="24"/>
                <w:lang w:val="zh-CN" w:eastAsia="en-US" w:bidi="zh-CN"/>
              </w:rPr>
              <w:t>玉林校区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983"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4</w:t>
            </w:r>
          </w:p>
        </w:tc>
        <w:tc>
          <w:tcPr>
            <w:tcW w:w="2908"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探索建立总法律顾问制度</w:t>
            </w:r>
          </w:p>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（1分）</w:t>
            </w:r>
          </w:p>
        </w:tc>
        <w:tc>
          <w:tcPr>
            <w:tcW w:w="6877"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4.1 学校设有总法律顾问</w:t>
            </w:r>
          </w:p>
        </w:tc>
        <w:tc>
          <w:tcPr>
            <w:tcW w:w="1985" w:type="dxa"/>
            <w:vAlign w:val="center"/>
          </w:tcPr>
          <w:p>
            <w:pPr>
              <w:autoSpaceDE w:val="0"/>
              <w:autoSpaceDN w:val="0"/>
              <w:jc w:val="center"/>
              <w:rPr>
                <w:rFonts w:ascii="仿宋" w:hAnsi="仿宋" w:eastAsia="仿宋" w:cs="仿宋"/>
                <w:bCs/>
                <w:kern w:val="0"/>
                <w:sz w:val="24"/>
                <w:lang w:val="zh-CN" w:eastAsia="en-US" w:bidi="zh-CN"/>
              </w:rPr>
            </w:pPr>
            <w:r>
              <w:rPr>
                <w:rFonts w:hint="eastAsia" w:ascii="仿宋" w:hAnsi="仿宋" w:eastAsia="仿宋" w:cs="仿宋"/>
                <w:bCs/>
                <w:kern w:val="0"/>
                <w:sz w:val="24"/>
                <w:lang w:val="zh-CN" w:eastAsia="en-US" w:bidi="zh-CN"/>
              </w:rPr>
              <w:t>抽查相关资料；</w:t>
            </w:r>
          </w:p>
          <w:p>
            <w:pPr>
              <w:autoSpaceDE w:val="0"/>
              <w:autoSpaceDN w:val="0"/>
              <w:jc w:val="center"/>
              <w:rPr>
                <w:rFonts w:ascii="仿宋" w:hAnsi="仿宋" w:eastAsia="仿宋" w:cs="仿宋"/>
                <w:bCs/>
                <w:kern w:val="0"/>
                <w:sz w:val="24"/>
                <w:lang w:val="zh-CN" w:eastAsia="en-US" w:bidi="zh-CN"/>
              </w:rPr>
            </w:pPr>
            <w:r>
              <w:rPr>
                <w:rFonts w:hint="eastAsia" w:ascii="仿宋" w:hAnsi="仿宋" w:eastAsia="仿宋" w:cs="仿宋"/>
                <w:bCs/>
                <w:kern w:val="0"/>
                <w:sz w:val="24"/>
                <w:lang w:val="zh-CN" w:eastAsia="en-US" w:bidi="zh-CN"/>
              </w:rPr>
              <w:t>实地走访</w:t>
            </w:r>
          </w:p>
        </w:tc>
        <w:tc>
          <w:tcPr>
            <w:tcW w:w="1984"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983" w:type="dxa"/>
            <w:vMerge w:val="restart"/>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5</w:t>
            </w:r>
          </w:p>
        </w:tc>
        <w:tc>
          <w:tcPr>
            <w:tcW w:w="2908" w:type="dxa"/>
            <w:vMerge w:val="restart"/>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法治工作经验被奖励或者推广（5分）</w:t>
            </w:r>
          </w:p>
        </w:tc>
        <w:tc>
          <w:tcPr>
            <w:tcW w:w="6877"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5.1 学校法治工作案例或者个人获得省部级以上奖励。（2分）</w:t>
            </w:r>
          </w:p>
        </w:tc>
        <w:tc>
          <w:tcPr>
            <w:tcW w:w="1985" w:type="dxa"/>
            <w:vMerge w:val="restart"/>
            <w:vAlign w:val="center"/>
          </w:tcPr>
          <w:p>
            <w:pPr>
              <w:autoSpaceDE w:val="0"/>
              <w:autoSpaceDN w:val="0"/>
              <w:jc w:val="center"/>
              <w:rPr>
                <w:rFonts w:ascii="仿宋" w:hAnsi="仿宋" w:eastAsia="仿宋" w:cs="仿宋"/>
                <w:bCs/>
                <w:kern w:val="0"/>
                <w:sz w:val="24"/>
                <w:lang w:val="zh-CN" w:eastAsia="en-US" w:bidi="zh-CN"/>
              </w:rPr>
            </w:pPr>
            <w:r>
              <w:rPr>
                <w:rFonts w:hint="eastAsia" w:ascii="仿宋" w:hAnsi="仿宋" w:eastAsia="仿宋" w:cs="仿宋"/>
                <w:bCs/>
                <w:kern w:val="0"/>
                <w:sz w:val="24"/>
                <w:lang w:val="zh-CN" w:eastAsia="en-US" w:bidi="zh-CN"/>
              </w:rPr>
              <w:t>抽查相关资料。</w:t>
            </w:r>
          </w:p>
        </w:tc>
        <w:tc>
          <w:tcPr>
            <w:tcW w:w="1984" w:type="dxa"/>
            <w:vAlign w:val="center"/>
          </w:tcPr>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宣传部</w:t>
            </w:r>
          </w:p>
          <w:p>
            <w:pPr>
              <w:pStyle w:val="16"/>
              <w:jc w:val="center"/>
              <w:rPr>
                <w:rFonts w:ascii="仿宋" w:hAnsi="仿宋" w:eastAsia="仿宋" w:cs="仿宋"/>
                <w:bCs/>
                <w:sz w:val="24"/>
                <w:szCs w:val="24"/>
                <w:lang w:eastAsia="en-US"/>
              </w:rPr>
            </w:pPr>
            <w:r>
              <w:rPr>
                <w:rFonts w:hint="eastAsia" w:ascii="仿宋" w:hAnsi="仿宋" w:eastAsia="仿宋" w:cs="仿宋"/>
                <w:bCs/>
                <w:sz w:val="24"/>
                <w:szCs w:val="24"/>
                <w:lang w:eastAsia="en-US"/>
              </w:rPr>
              <w:t>党办、校办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983" w:type="dxa"/>
            <w:vMerge w:val="continue"/>
            <w:tcBorders>
              <w:top w:val="nil"/>
            </w:tcBorders>
            <w:vAlign w:val="center"/>
          </w:tcPr>
          <w:p>
            <w:pPr>
              <w:autoSpaceDE w:val="0"/>
              <w:autoSpaceDN w:val="0"/>
              <w:jc w:val="center"/>
              <w:rPr>
                <w:rFonts w:ascii="仿宋" w:hAnsi="仿宋" w:eastAsia="仿宋" w:cs="仿宋"/>
                <w:bCs/>
                <w:sz w:val="24"/>
                <w:lang w:eastAsia="en-US"/>
              </w:rPr>
            </w:pPr>
          </w:p>
        </w:tc>
        <w:tc>
          <w:tcPr>
            <w:tcW w:w="2908" w:type="dxa"/>
            <w:vMerge w:val="continue"/>
            <w:tcBorders>
              <w:top w:val="nil"/>
            </w:tcBorders>
            <w:vAlign w:val="center"/>
          </w:tcPr>
          <w:p>
            <w:pPr>
              <w:autoSpaceDE w:val="0"/>
              <w:autoSpaceDN w:val="0"/>
              <w:rPr>
                <w:rFonts w:ascii="仿宋" w:hAnsi="仿宋" w:eastAsia="仿宋" w:cs="仿宋"/>
                <w:bCs/>
                <w:kern w:val="0"/>
                <w:sz w:val="24"/>
                <w:lang w:val="zh-CN" w:eastAsia="en-US" w:bidi="zh-CN"/>
              </w:rPr>
            </w:pPr>
          </w:p>
        </w:tc>
        <w:tc>
          <w:tcPr>
            <w:tcW w:w="6877" w:type="dxa"/>
            <w:vAlign w:val="center"/>
          </w:tcPr>
          <w:p>
            <w:pPr>
              <w:pStyle w:val="16"/>
              <w:jc w:val="both"/>
              <w:rPr>
                <w:rFonts w:ascii="仿宋" w:hAnsi="仿宋" w:eastAsia="仿宋" w:cs="仿宋"/>
                <w:bCs/>
                <w:sz w:val="24"/>
                <w:szCs w:val="24"/>
                <w:lang w:eastAsia="en-US"/>
              </w:rPr>
            </w:pPr>
            <w:r>
              <w:rPr>
                <w:rFonts w:hint="eastAsia" w:ascii="仿宋" w:hAnsi="仿宋" w:eastAsia="仿宋" w:cs="仿宋"/>
                <w:bCs/>
                <w:sz w:val="24"/>
                <w:szCs w:val="24"/>
                <w:lang w:eastAsia="en-US"/>
              </w:rPr>
              <w:t>5.2 学校制度建设成果或者创设的符合自身实际并带有创新性的规范性文件，具有示范意义，被上级机关通报，学校法治工作在全国性会议上推广或者中央媒体上报道。（每次加1分，最高3分）</w:t>
            </w:r>
          </w:p>
        </w:tc>
        <w:tc>
          <w:tcPr>
            <w:tcW w:w="1985" w:type="dxa"/>
            <w:vMerge w:val="continue"/>
            <w:tcBorders>
              <w:top w:val="nil"/>
            </w:tcBorders>
            <w:vAlign w:val="center"/>
          </w:tcPr>
          <w:p>
            <w:pPr>
              <w:autoSpaceDE w:val="0"/>
              <w:autoSpaceDN w:val="0"/>
              <w:jc w:val="center"/>
              <w:rPr>
                <w:rFonts w:ascii="仿宋" w:hAnsi="仿宋" w:eastAsia="仿宋" w:cs="仿宋"/>
                <w:bCs/>
                <w:kern w:val="0"/>
                <w:sz w:val="24"/>
                <w:lang w:val="zh-CN" w:eastAsia="en-US" w:bidi="zh-CN"/>
              </w:rPr>
            </w:pPr>
          </w:p>
        </w:tc>
        <w:tc>
          <w:tcPr>
            <w:tcW w:w="1984" w:type="dxa"/>
            <w:tcBorders>
              <w:top w:val="nil"/>
            </w:tcBorders>
            <w:vAlign w:val="center"/>
          </w:tcPr>
          <w:p>
            <w:pPr>
              <w:autoSpaceDE w:val="0"/>
              <w:autoSpaceDN w:val="0"/>
              <w:jc w:val="center"/>
              <w:rPr>
                <w:rFonts w:ascii="仿宋" w:hAnsi="仿宋" w:eastAsia="仿宋" w:cs="仿宋"/>
                <w:bCs/>
                <w:sz w:val="24"/>
                <w:lang w:val="zh-CN" w:eastAsia="en-US" w:bidi="zh-CN"/>
              </w:rPr>
            </w:pPr>
            <w:r>
              <w:rPr>
                <w:rFonts w:hint="eastAsia" w:ascii="仿宋" w:hAnsi="仿宋" w:eastAsia="仿宋" w:cs="仿宋"/>
                <w:bCs/>
                <w:sz w:val="24"/>
                <w:lang w:val="zh-CN" w:eastAsia="en-US" w:bidi="zh-CN"/>
              </w:rPr>
              <w:t>宣传部</w:t>
            </w:r>
          </w:p>
          <w:p>
            <w:pPr>
              <w:autoSpaceDE w:val="0"/>
              <w:autoSpaceDN w:val="0"/>
              <w:jc w:val="center"/>
              <w:rPr>
                <w:rFonts w:ascii="仿宋" w:hAnsi="仿宋" w:eastAsia="仿宋" w:cs="仿宋"/>
                <w:bCs/>
                <w:sz w:val="24"/>
                <w:lang w:val="zh-CN" w:eastAsia="en-US" w:bidi="zh-CN"/>
              </w:rPr>
            </w:pPr>
            <w:r>
              <w:rPr>
                <w:rFonts w:hint="eastAsia" w:ascii="仿宋" w:hAnsi="仿宋" w:eastAsia="仿宋" w:cs="仿宋"/>
                <w:bCs/>
                <w:sz w:val="24"/>
                <w:lang w:val="zh-CN" w:eastAsia="en-US" w:bidi="zh-CN"/>
              </w:rPr>
              <w:t>党办、校办</w:t>
            </w:r>
          </w:p>
        </w:tc>
      </w:tr>
    </w:tbl>
    <w:p>
      <w:pPr>
        <w:rPr>
          <w:rFonts w:ascii="仿宋" w:hAnsi="仿宋" w:eastAsia="仿宋" w:cs="仿宋"/>
          <w:sz w:val="24"/>
        </w:rPr>
      </w:pPr>
      <w:r>
        <w:rPr>
          <w:rFonts w:hint="eastAsia" w:ascii="仿宋" w:hAnsi="仿宋" w:eastAsia="仿宋" w:cs="仿宋"/>
          <w:sz w:val="24"/>
        </w:rPr>
        <w:t>注：1.第三级指标中未单独标注的项目分值为1分。</w:t>
      </w:r>
    </w:p>
    <w:p>
      <w:pPr>
        <w:ind w:firstLine="48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24"/>
        </w:rPr>
        <w:t>2.学校对评测项目在赋分时可以根据实际达到程度选择0%、50%、80%和100%四个档次（有明确要求或者以“有”或“无”赋分的项目除外）。</w:t>
      </w:r>
      <w:bookmarkStart w:id="0" w:name="_GoBack"/>
      <w:bookmarkEnd w:id="0"/>
    </w:p>
    <w:sectPr>
      <w:footerReference r:id="rId3" w:type="default"/>
      <w:pgSz w:w="16838" w:h="11906" w:orient="landscape"/>
      <w:pgMar w:top="1417" w:right="1418" w:bottom="1417" w:left="141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63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DMzFdEAAAADAQAADwAAAAAAAAABACAAAAAiAAAAZHJzL2Rvd25yZXYueG1sUEsB&#10;AhQAFAAAAAgAh07iQBjU3YH8AQAABAQAAA4AAAAAAAAAAQAgAAAAIAEAAGRycy9lMm9Eb2MueG1s&#10;UEsFBgAAAAAGAAYAWQEAAI4FA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mYzUwN2E4ZmUxODU2ZDJiNmRiOWMyNTM0OWQ5MzAifQ=="/>
  </w:docVars>
  <w:rsids>
    <w:rsidRoot w:val="4F5F45C0"/>
    <w:rsid w:val="00006970"/>
    <w:rsid w:val="00032995"/>
    <w:rsid w:val="00072C34"/>
    <w:rsid w:val="00081B4A"/>
    <w:rsid w:val="001158CA"/>
    <w:rsid w:val="0014194D"/>
    <w:rsid w:val="001455DD"/>
    <w:rsid w:val="001500DC"/>
    <w:rsid w:val="001A4294"/>
    <w:rsid w:val="00220F87"/>
    <w:rsid w:val="00222BBB"/>
    <w:rsid w:val="002413BE"/>
    <w:rsid w:val="0028798B"/>
    <w:rsid w:val="002C4CF5"/>
    <w:rsid w:val="002C56B4"/>
    <w:rsid w:val="002C5F8E"/>
    <w:rsid w:val="002F3171"/>
    <w:rsid w:val="002F7A03"/>
    <w:rsid w:val="003D6BB0"/>
    <w:rsid w:val="00401326"/>
    <w:rsid w:val="0041624B"/>
    <w:rsid w:val="00441268"/>
    <w:rsid w:val="00441FB4"/>
    <w:rsid w:val="004512E5"/>
    <w:rsid w:val="00490A4D"/>
    <w:rsid w:val="00492EEF"/>
    <w:rsid w:val="004D784C"/>
    <w:rsid w:val="00522BDF"/>
    <w:rsid w:val="00552F5D"/>
    <w:rsid w:val="005769E9"/>
    <w:rsid w:val="005A18A3"/>
    <w:rsid w:val="005C1566"/>
    <w:rsid w:val="00662AD1"/>
    <w:rsid w:val="0066363F"/>
    <w:rsid w:val="006F28F6"/>
    <w:rsid w:val="00705BD8"/>
    <w:rsid w:val="0073682C"/>
    <w:rsid w:val="00770AFA"/>
    <w:rsid w:val="00793C58"/>
    <w:rsid w:val="007A670B"/>
    <w:rsid w:val="007C35D7"/>
    <w:rsid w:val="007F42E1"/>
    <w:rsid w:val="00832E10"/>
    <w:rsid w:val="008B1350"/>
    <w:rsid w:val="008B5614"/>
    <w:rsid w:val="008B5BE0"/>
    <w:rsid w:val="008C03DC"/>
    <w:rsid w:val="0090141E"/>
    <w:rsid w:val="00935772"/>
    <w:rsid w:val="009D42CB"/>
    <w:rsid w:val="009E7CC7"/>
    <w:rsid w:val="00A45A9C"/>
    <w:rsid w:val="00A71EB0"/>
    <w:rsid w:val="00A816E8"/>
    <w:rsid w:val="00A921EE"/>
    <w:rsid w:val="00A930BE"/>
    <w:rsid w:val="00AD2A4B"/>
    <w:rsid w:val="00B07C5C"/>
    <w:rsid w:val="00B316DC"/>
    <w:rsid w:val="00B703FC"/>
    <w:rsid w:val="00B77917"/>
    <w:rsid w:val="00B85608"/>
    <w:rsid w:val="00B87D53"/>
    <w:rsid w:val="00BC3CD2"/>
    <w:rsid w:val="00C06D9A"/>
    <w:rsid w:val="00C15C0E"/>
    <w:rsid w:val="00C409B9"/>
    <w:rsid w:val="00C42D4D"/>
    <w:rsid w:val="00CD0987"/>
    <w:rsid w:val="00CF0D3C"/>
    <w:rsid w:val="00D0537A"/>
    <w:rsid w:val="00D120CF"/>
    <w:rsid w:val="00D349D0"/>
    <w:rsid w:val="00D450C6"/>
    <w:rsid w:val="00D50642"/>
    <w:rsid w:val="00D52234"/>
    <w:rsid w:val="00D532CB"/>
    <w:rsid w:val="00D56757"/>
    <w:rsid w:val="00D613B0"/>
    <w:rsid w:val="00D74A68"/>
    <w:rsid w:val="00DD7F57"/>
    <w:rsid w:val="00E03202"/>
    <w:rsid w:val="00E1362D"/>
    <w:rsid w:val="00E7652C"/>
    <w:rsid w:val="00EA0680"/>
    <w:rsid w:val="00EA07E9"/>
    <w:rsid w:val="00ED53F1"/>
    <w:rsid w:val="00F02A19"/>
    <w:rsid w:val="00F12804"/>
    <w:rsid w:val="00F66236"/>
    <w:rsid w:val="00F74231"/>
    <w:rsid w:val="00F85F23"/>
    <w:rsid w:val="00FA7A2E"/>
    <w:rsid w:val="00FF5066"/>
    <w:rsid w:val="038720C2"/>
    <w:rsid w:val="057E39B7"/>
    <w:rsid w:val="05955D32"/>
    <w:rsid w:val="05CB4DDB"/>
    <w:rsid w:val="067B57E2"/>
    <w:rsid w:val="06D211F5"/>
    <w:rsid w:val="074B3407"/>
    <w:rsid w:val="07E55609"/>
    <w:rsid w:val="085D7896"/>
    <w:rsid w:val="08C67E22"/>
    <w:rsid w:val="08EA67AB"/>
    <w:rsid w:val="0A5928AA"/>
    <w:rsid w:val="0A96713F"/>
    <w:rsid w:val="0BEA58E4"/>
    <w:rsid w:val="0CEE70CE"/>
    <w:rsid w:val="0ECF0DC1"/>
    <w:rsid w:val="0EE7435D"/>
    <w:rsid w:val="0EEF6D6E"/>
    <w:rsid w:val="0F340C24"/>
    <w:rsid w:val="0FD304EA"/>
    <w:rsid w:val="10615A49"/>
    <w:rsid w:val="10B95885"/>
    <w:rsid w:val="14425B91"/>
    <w:rsid w:val="156331F1"/>
    <w:rsid w:val="15932B49"/>
    <w:rsid w:val="15CD5DC3"/>
    <w:rsid w:val="15DD0268"/>
    <w:rsid w:val="16CE195E"/>
    <w:rsid w:val="17BF5E77"/>
    <w:rsid w:val="18297794"/>
    <w:rsid w:val="1B5A1A13"/>
    <w:rsid w:val="1D390D5C"/>
    <w:rsid w:val="1D5C1CE3"/>
    <w:rsid w:val="1D7414B2"/>
    <w:rsid w:val="1DC35F95"/>
    <w:rsid w:val="1E2C7696"/>
    <w:rsid w:val="1E320A25"/>
    <w:rsid w:val="1EF1268E"/>
    <w:rsid w:val="1F2F21D1"/>
    <w:rsid w:val="1F9045D1"/>
    <w:rsid w:val="1FFE32B4"/>
    <w:rsid w:val="20322F5E"/>
    <w:rsid w:val="204131A1"/>
    <w:rsid w:val="20F73618"/>
    <w:rsid w:val="221E3BC4"/>
    <w:rsid w:val="224A29CE"/>
    <w:rsid w:val="245931AF"/>
    <w:rsid w:val="24685300"/>
    <w:rsid w:val="25007ACF"/>
    <w:rsid w:val="25C64874"/>
    <w:rsid w:val="26D62895"/>
    <w:rsid w:val="288E3450"/>
    <w:rsid w:val="28D35036"/>
    <w:rsid w:val="2AF94DA4"/>
    <w:rsid w:val="2C736DD8"/>
    <w:rsid w:val="2CA6435D"/>
    <w:rsid w:val="2E254102"/>
    <w:rsid w:val="2F3B1E2F"/>
    <w:rsid w:val="301D0EFE"/>
    <w:rsid w:val="30B71989"/>
    <w:rsid w:val="31194444"/>
    <w:rsid w:val="31462D0D"/>
    <w:rsid w:val="32046D5C"/>
    <w:rsid w:val="32350F25"/>
    <w:rsid w:val="328A09D8"/>
    <w:rsid w:val="33150BE9"/>
    <w:rsid w:val="337F6063"/>
    <w:rsid w:val="33B23BFE"/>
    <w:rsid w:val="350902DA"/>
    <w:rsid w:val="359A7184"/>
    <w:rsid w:val="36004EFF"/>
    <w:rsid w:val="369A4E2B"/>
    <w:rsid w:val="383D21D3"/>
    <w:rsid w:val="3A442F2D"/>
    <w:rsid w:val="3A8C2503"/>
    <w:rsid w:val="3E6A003B"/>
    <w:rsid w:val="3F8073EA"/>
    <w:rsid w:val="3FA0036C"/>
    <w:rsid w:val="40583EC3"/>
    <w:rsid w:val="40754A75"/>
    <w:rsid w:val="40AC032C"/>
    <w:rsid w:val="41B94E35"/>
    <w:rsid w:val="42B57854"/>
    <w:rsid w:val="43A7433E"/>
    <w:rsid w:val="443C4228"/>
    <w:rsid w:val="4565330A"/>
    <w:rsid w:val="456F23DB"/>
    <w:rsid w:val="46F87D72"/>
    <w:rsid w:val="475950F1"/>
    <w:rsid w:val="4BA17066"/>
    <w:rsid w:val="4BEF41EB"/>
    <w:rsid w:val="4C40062D"/>
    <w:rsid w:val="4C7958ED"/>
    <w:rsid w:val="4CB86415"/>
    <w:rsid w:val="4CE70AA9"/>
    <w:rsid w:val="4D6B3488"/>
    <w:rsid w:val="4D911437"/>
    <w:rsid w:val="4EA17055"/>
    <w:rsid w:val="4F0B67EE"/>
    <w:rsid w:val="4F5F45C0"/>
    <w:rsid w:val="4F8B6063"/>
    <w:rsid w:val="4FEE65F2"/>
    <w:rsid w:val="501C6CBB"/>
    <w:rsid w:val="507C775A"/>
    <w:rsid w:val="50CE26AB"/>
    <w:rsid w:val="511E6A63"/>
    <w:rsid w:val="51404C2B"/>
    <w:rsid w:val="516F72BF"/>
    <w:rsid w:val="533A4B08"/>
    <w:rsid w:val="54907C78"/>
    <w:rsid w:val="55E5014E"/>
    <w:rsid w:val="57A557E8"/>
    <w:rsid w:val="58492617"/>
    <w:rsid w:val="58EE31BF"/>
    <w:rsid w:val="59F11F01"/>
    <w:rsid w:val="5A90452E"/>
    <w:rsid w:val="5AFE1FFA"/>
    <w:rsid w:val="5B082187"/>
    <w:rsid w:val="5B18633B"/>
    <w:rsid w:val="5D883BE2"/>
    <w:rsid w:val="5D9B4E1F"/>
    <w:rsid w:val="5E655CD1"/>
    <w:rsid w:val="5F8B1768"/>
    <w:rsid w:val="6096155B"/>
    <w:rsid w:val="678A0557"/>
    <w:rsid w:val="68A37B22"/>
    <w:rsid w:val="69026F3E"/>
    <w:rsid w:val="69601EB7"/>
    <w:rsid w:val="6A271505"/>
    <w:rsid w:val="6A714C2B"/>
    <w:rsid w:val="6AD751B9"/>
    <w:rsid w:val="6AE37EEF"/>
    <w:rsid w:val="6AEB3A02"/>
    <w:rsid w:val="6BC72D14"/>
    <w:rsid w:val="6C417D7E"/>
    <w:rsid w:val="6CA21D6C"/>
    <w:rsid w:val="6CA26862"/>
    <w:rsid w:val="6CD90E19"/>
    <w:rsid w:val="6D594C53"/>
    <w:rsid w:val="6DEE183F"/>
    <w:rsid w:val="6EBF4F8A"/>
    <w:rsid w:val="6ECB392F"/>
    <w:rsid w:val="6F510C7C"/>
    <w:rsid w:val="6FD20CED"/>
    <w:rsid w:val="70F34CED"/>
    <w:rsid w:val="71347EB1"/>
    <w:rsid w:val="71BA218C"/>
    <w:rsid w:val="71F238C8"/>
    <w:rsid w:val="71F72C8D"/>
    <w:rsid w:val="729B22E5"/>
    <w:rsid w:val="7306587D"/>
    <w:rsid w:val="734C0DB6"/>
    <w:rsid w:val="74251D33"/>
    <w:rsid w:val="7507768A"/>
    <w:rsid w:val="758C7D30"/>
    <w:rsid w:val="76D417EE"/>
    <w:rsid w:val="77BB5CCC"/>
    <w:rsid w:val="7AAD2A82"/>
    <w:rsid w:val="7BB8348D"/>
    <w:rsid w:val="7BBA5457"/>
    <w:rsid w:val="7DC26844"/>
    <w:rsid w:val="7E3D4E47"/>
    <w:rsid w:val="7EA36D85"/>
    <w:rsid w:val="7EE30820"/>
    <w:rsid w:val="7F606315"/>
    <w:rsid w:val="7F6A37A6"/>
    <w:rsid w:val="7FB6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autoSpaceDE w:val="0"/>
      <w:autoSpaceDN w:val="0"/>
      <w:spacing w:before="100" w:beforeAutospacing="1" w:after="100" w:afterAutospacing="1"/>
      <w:jc w:val="left"/>
      <w:outlineLvl w:val="0"/>
    </w:pPr>
    <w:rPr>
      <w:rFonts w:ascii="宋体" w:hAnsi="宋体" w:eastAsia="宋体" w:cs="Times New Roman"/>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jc w:val="left"/>
    </w:pPr>
    <w:rPr>
      <w:rFonts w:ascii="仿宋" w:hAnsi="仿宋" w:eastAsia="仿宋" w:cs="仿宋"/>
      <w:kern w:val="0"/>
      <w:sz w:val="32"/>
      <w:szCs w:val="32"/>
      <w:lang w:val="zh-CN" w:bidi="zh-CN"/>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批注框文本 Char"/>
    <w:basedOn w:val="10"/>
    <w:link w:val="4"/>
    <w:qFormat/>
    <w:uiPriority w:val="0"/>
    <w:rPr>
      <w:kern w:val="2"/>
      <w:sz w:val="18"/>
      <w:szCs w:val="18"/>
    </w:rPr>
  </w:style>
  <w:style w:type="character" w:customStyle="1" w:styleId="13">
    <w:name w:val="标题 1 Char"/>
    <w:basedOn w:val="10"/>
    <w:link w:val="2"/>
    <w:qFormat/>
    <w:uiPriority w:val="0"/>
    <w:rPr>
      <w:rFonts w:ascii="宋体" w:hAnsi="宋体" w:eastAsia="宋体" w:cs="Times New Roman"/>
      <w:b/>
      <w:kern w:val="44"/>
      <w:sz w:val="48"/>
      <w:szCs w:val="48"/>
    </w:rPr>
  </w:style>
  <w:style w:type="character" w:customStyle="1" w:styleId="14">
    <w:name w:val="正文文本 Char"/>
    <w:basedOn w:val="10"/>
    <w:link w:val="3"/>
    <w:qFormat/>
    <w:uiPriority w:val="1"/>
    <w:rPr>
      <w:rFonts w:ascii="仿宋" w:hAnsi="仿宋" w:eastAsia="仿宋" w:cs="仿宋"/>
      <w:sz w:val="32"/>
      <w:szCs w:val="32"/>
      <w:lang w:val="zh-CN" w:bidi="zh-CN"/>
    </w:rPr>
  </w:style>
  <w:style w:type="table" w:customStyle="1" w:styleId="15">
    <w:name w:val="Table Normal"/>
    <w:basedOn w:val="8"/>
    <w:semiHidden/>
    <w:unhideWhenUsed/>
    <w:qFormat/>
    <w:uiPriority w:val="0"/>
    <w:pPr>
      <w:widowControl w:val="0"/>
      <w:autoSpaceDE w:val="0"/>
      <w:autoSpaceDN w:val="0"/>
    </w:pPr>
    <w:rPr>
      <w:rFonts w:ascii="Arial" w:hAnsi="Arial" w:eastAsia="宋体" w:cs="Arial"/>
      <w:sz w:val="22"/>
      <w:szCs w:val="22"/>
      <w:lang w:eastAsia="en-US"/>
    </w:rPr>
    <w:tblPr>
      <w:tblCellMar>
        <w:left w:w="0" w:type="dxa"/>
        <w:right w:w="0" w:type="dxa"/>
      </w:tblCellMar>
    </w:tblPr>
  </w:style>
  <w:style w:type="paragraph" w:customStyle="1" w:styleId="16">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17">
    <w:name w:val="p0"/>
    <w:basedOn w:val="1"/>
    <w:qFormat/>
    <w:uiPriority w:val="0"/>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7936</Words>
  <Characters>8444</Characters>
  <Lines>67</Lines>
  <Paragraphs>18</Paragraphs>
  <TotalTime>2</TotalTime>
  <ScaleCrop>false</ScaleCrop>
  <LinksUpToDate>false</LinksUpToDate>
  <CharactersWithSpaces>8503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2022-12-02T09:09:00Z</dcterms:created>
  <dc:creator>巴豆</dc:creator>
  <cp:lastModifiedBy>Administrator</cp:lastModifiedBy>
  <cp:lastPrinted>2022-12-07T09:34:50Z</cp:lastPrinted>
  <dcterms:modified xsi:type="dcterms:W3CDTF">2022-12-07T09:37:47Z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8BFEFDE359BB4A19BA2781E0480294CE</vt:lpwstr>
  </property>
</Properties>
</file>