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6C04C">
      <w:pPr>
        <w:rPr>
          <w:rFonts w:hint="default" w:ascii="Times New Roman" w:hAnsi="Times New Roman" w:cs="Times New Roma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cs="Times New Roman" w:eastAsiaTheme="minorEastAsia"/>
          <w:lang w:eastAsia="zh-CN"/>
        </w:rPr>
        <w:drawing>
          <wp:anchor distT="0" distB="0" distL="114300" distR="114300" simplePos="0" relativeHeight="251662336" behindDoc="0" locked="0" layoutInCell="1" allowOverlap="1">
            <wp:simplePos x="0" y="0"/>
            <wp:positionH relativeFrom="column">
              <wp:posOffset>-934085</wp:posOffset>
            </wp:positionH>
            <wp:positionV relativeFrom="paragraph">
              <wp:posOffset>-950595</wp:posOffset>
            </wp:positionV>
            <wp:extent cx="2952750" cy="1487805"/>
            <wp:effectExtent l="0" t="0" r="0" b="17145"/>
            <wp:wrapNone/>
            <wp:docPr id="2" name="图片 2" descr="W02021110836754996047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020211108367549960472 (1)"/>
                    <pic:cNvPicPr>
                      <a:picLocks noChangeAspect="1"/>
                    </pic:cNvPicPr>
                  </pic:nvPicPr>
                  <pic:blipFill>
                    <a:blip r:embed="rId7"/>
                    <a:srcRect l="1700" t="4672" r="1957" b="5693"/>
                    <a:stretch>
                      <a:fillRect/>
                    </a:stretch>
                  </pic:blipFill>
                  <pic:spPr>
                    <a:xfrm>
                      <a:off x="0" y="0"/>
                      <a:ext cx="2952750" cy="1487805"/>
                    </a:xfrm>
                    <a:prstGeom prst="rect">
                      <a:avLst/>
                    </a:prstGeom>
                  </pic:spPr>
                </pic:pic>
              </a:graphicData>
            </a:graphic>
          </wp:anchor>
        </w:drawing>
      </w:r>
      <w:r>
        <w:rPr>
          <w:rFonts w:hint="default" w:ascii="Times New Roman" w:hAnsi="Times New Roman" w:cs="Times New Roman" w:eastAsiaTheme="minorEastAsia"/>
          <w:lang w:eastAsia="zh-CN"/>
        </w:rPr>
        <w:drawing>
          <wp:anchor distT="0" distB="0" distL="114300" distR="114300" simplePos="0" relativeHeight="251659264" behindDoc="1" locked="0" layoutInCell="1" allowOverlap="1">
            <wp:simplePos x="0" y="0"/>
            <wp:positionH relativeFrom="column">
              <wp:posOffset>-1142365</wp:posOffset>
            </wp:positionH>
            <wp:positionV relativeFrom="page">
              <wp:posOffset>0</wp:posOffset>
            </wp:positionV>
            <wp:extent cx="7559040" cy="10692130"/>
            <wp:effectExtent l="0" t="0" r="3810" b="13970"/>
            <wp:wrapNone/>
            <wp:docPr id="1" name="图片 1" descr="H:\稻壳儿相关资料\封面-非模\09.jpg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稻壳儿相关资料\封面-非模\09.jpg09"/>
                    <pic:cNvPicPr>
                      <a:picLocks noChangeAspect="1"/>
                    </pic:cNvPicPr>
                  </pic:nvPicPr>
                  <pic:blipFill>
                    <a:blip r:embed="rId8"/>
                    <a:srcRect/>
                    <a:stretch>
                      <a:fillRect/>
                    </a:stretch>
                  </pic:blipFill>
                  <pic:spPr>
                    <a:xfrm>
                      <a:off x="0" y="0"/>
                      <a:ext cx="7559040" cy="10692130"/>
                    </a:xfrm>
                    <a:prstGeom prst="rect">
                      <a:avLst/>
                    </a:prstGeom>
                  </pic:spPr>
                </pic:pic>
              </a:graphicData>
            </a:graphic>
          </wp:anchor>
        </w:drawing>
      </w:r>
      <w:r>
        <w:rPr>
          <w:rFonts w:hint="default" w:ascii="Times New Roman" w:hAnsi="Times New Roman" w:cs="Times New Roman"/>
          <w:sz w:val="21"/>
        </w:rPr>
        <mc:AlternateContent>
          <mc:Choice Requires="wps">
            <w:drawing>
              <wp:anchor distT="0" distB="0" distL="114300" distR="114300" simplePos="0" relativeHeight="251661312" behindDoc="0" locked="0" layoutInCell="1" allowOverlap="1">
                <wp:simplePos x="0" y="0"/>
                <wp:positionH relativeFrom="column">
                  <wp:posOffset>689610</wp:posOffset>
                </wp:positionH>
                <wp:positionV relativeFrom="paragraph">
                  <wp:posOffset>2312035</wp:posOffset>
                </wp:positionV>
                <wp:extent cx="5364480" cy="1280160"/>
                <wp:effectExtent l="0" t="0" r="0" b="0"/>
                <wp:wrapNone/>
                <wp:docPr id="8" name="矩形 13"/>
                <wp:cNvGraphicFramePr/>
                <a:graphic xmlns:a="http://schemas.openxmlformats.org/drawingml/2006/main">
                  <a:graphicData uri="http://schemas.microsoft.com/office/word/2010/wordprocessingShape">
                    <wps:wsp>
                      <wps:cNvSpPr/>
                      <wps:spPr>
                        <a:xfrm>
                          <a:off x="0" y="0"/>
                          <a:ext cx="5364480" cy="1280160"/>
                        </a:xfrm>
                        <a:prstGeom prst="rect">
                          <a:avLst/>
                        </a:prstGeom>
                      </wps:spPr>
                      <wps:txbx>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wps:txbx>
                      <wps:bodyPr wrap="square">
                        <a:spAutoFit/>
                      </wps:bodyPr>
                    </wps:wsp>
                  </a:graphicData>
                </a:graphic>
              </wp:anchor>
            </w:drawing>
          </mc:Choice>
          <mc:Fallback>
            <w:pict>
              <v:rect id="矩形 13" o:spid="_x0000_s1026" o:spt="1" style="position:absolute;left:0pt;margin-left:54.3pt;margin-top:182.05pt;height:100.8pt;width:422.4pt;z-index:251661312;mso-width-relative:page;mso-height-relative:page;" filled="f" stroked="f" coordsize="21600,21600" o:gfxdata="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NRCX/2gAAAAsBAAAP&#10;AAAAAAAAAAEAIAAAACIAAABkcnMvZG93bnJldi54bWxQSwECFAAUAAAACACHTuJA/MXPEaQBAAA8&#10;AwAADgAAAAAAAAABACAAAAApAQAAZHJzL2Uyb0RvYy54bWxQSwUGAAAAAAYABgBZAQAAPwUAAAAA&#10;">
                <v:fill on="f" focussize="0,0"/>
                <v:stroke on="f"/>
                <v:imagedata o:title=""/>
                <o:lock v:ext="edit" aspectratio="f"/>
                <v:textbox style="mso-fit-shape-to-text:t;">
                  <w:txbxContent>
                    <w:p w14:paraId="09151CEB">
                      <w:pPr>
                        <w:pStyle w:val="10"/>
                        <w:keepNext w:val="0"/>
                        <w:keepLines w:val="0"/>
                        <w:pageBreakBefore w:val="0"/>
                        <w:widowControl w:val="0"/>
                        <w:kinsoku/>
                        <w:wordWrap/>
                        <w:overflowPunct/>
                        <w:topLinePunct w:val="0"/>
                        <w:autoSpaceDE/>
                        <w:autoSpaceDN/>
                        <w:bidi w:val="0"/>
                        <w:adjustRightInd/>
                        <w:snapToGrid/>
                        <w:spacing w:line="1120" w:lineRule="exact"/>
                        <w:ind w:left="0"/>
                        <w:jc w:val="right"/>
                        <w:textAlignment w:val="auto"/>
                        <w:rPr>
                          <w:rFonts w:hint="eastAsia" w:ascii="方正小标宋简体" w:hAnsi="方正小标宋简体" w:eastAsia="方正小标宋简体" w:cs="方正小标宋简体"/>
                          <w:b/>
                          <w:bCs/>
                          <w:color w:val="auto"/>
                          <w:sz w:val="96"/>
                          <w:szCs w:val="96"/>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ascii="方正小标宋简体" w:hAnsi="方正小标宋简体" w:eastAsia="方正小标宋简体" w:cs="方正小标宋简体"/>
                          <w:color w:val="000000"/>
                          <w:kern w:val="2"/>
                          <w:sz w:val="72"/>
                          <w:szCs w:val="72"/>
                          <w:lang w:val="en-US" w:eastAsia="zh-CN" w:bidi="ar-SA"/>
                        </w:rPr>
                        <w:t>理论学习周报</w:t>
                      </w:r>
                    </w:p>
                  </w:txbxContent>
                </v:textbox>
              </v:rect>
            </w:pict>
          </mc:Fallback>
        </mc:AlternateContent>
      </w:r>
      <w:r>
        <w:rPr>
          <w:rFonts w:hint="default" w:ascii="Times New Roman" w:hAnsi="Times New Roman" w:cs="Times New Roman"/>
          <w:sz w:val="21"/>
        </w:rPr>
        <mc:AlternateContent>
          <mc:Choice Requires="wps">
            <w:drawing>
              <wp:anchor distT="0" distB="0" distL="114300" distR="114300" simplePos="0" relativeHeight="251660288" behindDoc="0" locked="0" layoutInCell="1" allowOverlap="1">
                <wp:simplePos x="0" y="0"/>
                <wp:positionH relativeFrom="column">
                  <wp:posOffset>1296670</wp:posOffset>
                </wp:positionH>
                <wp:positionV relativeFrom="paragraph">
                  <wp:posOffset>8161020</wp:posOffset>
                </wp:positionV>
                <wp:extent cx="2392680" cy="487680"/>
                <wp:effectExtent l="0" t="0" r="0" b="0"/>
                <wp:wrapNone/>
                <wp:docPr id="20" name="矩形 19"/>
                <wp:cNvGraphicFramePr/>
                <a:graphic xmlns:a="http://schemas.openxmlformats.org/drawingml/2006/main">
                  <a:graphicData uri="http://schemas.microsoft.com/office/word/2010/wordprocessingShape">
                    <wps:wsp>
                      <wps:cNvSpPr/>
                      <wps:spPr>
                        <a:xfrm>
                          <a:off x="0" y="0"/>
                          <a:ext cx="2392680" cy="487680"/>
                        </a:xfrm>
                        <a:prstGeom prst="rect">
                          <a:avLst/>
                        </a:prstGeom>
                      </wps:spPr>
                      <wps:txbx>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6</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15</w:t>
                            </w:r>
                            <w:r>
                              <w:rPr>
                                <w:rFonts w:hint="default" w:ascii="Times New Roman" w:hAnsi="Times New Roman" w:eastAsia="方正小标宋简体" w:cs="Times New Roman"/>
                                <w:color w:val="000000"/>
                                <w:kern w:val="2"/>
                                <w:sz w:val="32"/>
                                <w:szCs w:val="32"/>
                                <w:lang w:val="en-US" w:eastAsia="zh-CN" w:bidi="ar-SA"/>
                              </w:rPr>
                              <w:t>日</w:t>
                            </w:r>
                          </w:p>
                        </w:txbxContent>
                      </wps:txbx>
                      <wps:bodyPr wrap="none">
                        <a:spAutoFit/>
                      </wps:bodyPr>
                    </wps:wsp>
                  </a:graphicData>
                </a:graphic>
              </wp:anchor>
            </w:drawing>
          </mc:Choice>
          <mc:Fallback>
            <w:pict>
              <v:rect id="矩形 19" o:spid="_x0000_s1026" o:spt="1" style="position:absolute;left:0pt;margin-left:102.1pt;margin-top:642.6pt;height:38.4pt;width:188.4pt;mso-wrap-style:none;z-index:251660288;mso-width-relative:page;mso-height-relative:page;" filled="f" stroked="f" coordsize="21600,21600" o:gfxdata="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RsOWNkAAAANAQAADwAAAAAA&#10;AAABACAAAAAiAAAAZHJzL2Rvd25yZXYueG1sUEsBAhQAFAAAAAgAh07iQO6SE0ygAQAAOgMAAA4A&#10;AAAAAAAAAQAgAAAAKAEAAGRycy9lMm9Eb2MueG1sUEsFBgAAAAAGAAYAWQEAADoFAAAAAA==&#10;">
                <v:fill on="f" focussize="0,0"/>
                <v:stroke on="f"/>
                <v:imagedata o:title=""/>
                <o:lock v:ext="edit" aspectratio="f"/>
                <v:textbox style="mso-fit-shape-to-text:t;">
                  <w:txbxContent>
                    <w:p w14:paraId="63F6E0CC">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广西医科大学党委宣传部</w:t>
                      </w:r>
                    </w:p>
                    <w:p w14:paraId="7A82A6EB">
                      <w:pPr>
                        <w:pStyle w:val="1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方正小标宋简体" w:cs="Times New Roman"/>
                          <w:color w:val="000000"/>
                          <w:kern w:val="2"/>
                          <w:sz w:val="32"/>
                          <w:szCs w:val="32"/>
                          <w:lang w:val="en-US" w:eastAsia="zh-CN" w:bidi="ar-SA"/>
                        </w:rPr>
                      </w:pPr>
                      <w:r>
                        <w:rPr>
                          <w:rFonts w:hint="default" w:ascii="Times New Roman" w:hAnsi="Times New Roman" w:eastAsia="方正小标宋简体" w:cs="Times New Roman"/>
                          <w:color w:val="000000"/>
                          <w:kern w:val="2"/>
                          <w:sz w:val="32"/>
                          <w:szCs w:val="32"/>
                          <w:lang w:val="en-US" w:eastAsia="zh-CN" w:bidi="ar-SA"/>
                        </w:rPr>
                        <w:t>2026年</w:t>
                      </w:r>
                      <w:r>
                        <w:rPr>
                          <w:rFonts w:hint="eastAsia" w:ascii="Times New Roman" w:hAnsi="Times New Roman" w:eastAsia="方正小标宋简体" w:cs="Times New Roman"/>
                          <w:color w:val="000000"/>
                          <w:kern w:val="2"/>
                          <w:sz w:val="32"/>
                          <w:szCs w:val="32"/>
                          <w:lang w:val="en-US" w:eastAsia="zh-CN" w:bidi="ar-SA"/>
                        </w:rPr>
                        <w:t>6</w:t>
                      </w:r>
                      <w:r>
                        <w:rPr>
                          <w:rFonts w:hint="default" w:ascii="Times New Roman" w:hAnsi="Times New Roman" w:eastAsia="方正小标宋简体" w:cs="Times New Roman"/>
                          <w:color w:val="000000"/>
                          <w:kern w:val="2"/>
                          <w:sz w:val="32"/>
                          <w:szCs w:val="32"/>
                          <w:lang w:val="en-US" w:eastAsia="zh-CN" w:bidi="ar-SA"/>
                        </w:rPr>
                        <w:t>月</w:t>
                      </w:r>
                      <w:r>
                        <w:rPr>
                          <w:rFonts w:hint="eastAsia" w:ascii="Times New Roman" w:hAnsi="Times New Roman" w:eastAsia="方正小标宋简体" w:cs="Times New Roman"/>
                          <w:color w:val="000000"/>
                          <w:kern w:val="2"/>
                          <w:sz w:val="32"/>
                          <w:szCs w:val="32"/>
                          <w:lang w:val="en-US" w:eastAsia="zh-CN" w:bidi="ar-SA"/>
                        </w:rPr>
                        <w:t>15</w:t>
                      </w:r>
                      <w:r>
                        <w:rPr>
                          <w:rFonts w:hint="default" w:ascii="Times New Roman" w:hAnsi="Times New Roman" w:eastAsia="方正小标宋简体" w:cs="Times New Roman"/>
                          <w:color w:val="000000"/>
                          <w:kern w:val="2"/>
                          <w:sz w:val="32"/>
                          <w:szCs w:val="32"/>
                          <w:lang w:val="en-US" w:eastAsia="zh-CN" w:bidi="ar-SA"/>
                        </w:rPr>
                        <w:t>日</w:t>
                      </w:r>
                    </w:p>
                  </w:txbxContent>
                </v:textbox>
              </v:rect>
            </w:pict>
          </mc:Fallback>
        </mc:AlternateContent>
      </w:r>
    </w:p>
    <w:p w14:paraId="119E8C7A">
      <w:pPr>
        <w:rPr>
          <w:rFonts w:hint="default" w:ascii="Times New Roman" w:hAnsi="Times New Roman" w:cs="Times New Roman"/>
          <w:lang w:val="en-US" w:eastAsia="zh-CN"/>
        </w:rPr>
      </w:pPr>
    </w:p>
    <w:p w14:paraId="38D99D56">
      <w:pPr>
        <w:jc w:val="center"/>
        <w:rPr>
          <w:rFonts w:hint="default" w:ascii="Times New Roman" w:hAnsi="Times New Roman" w:eastAsia="仿宋_GB2312" w:cs="Times New Roman"/>
          <w:b/>
          <w:bCs/>
          <w:sz w:val="48"/>
          <w:szCs w:val="56"/>
          <w:lang w:val="en-US" w:eastAsia="zh-CN"/>
        </w:rPr>
      </w:pPr>
      <w:r>
        <w:rPr>
          <w:rFonts w:hint="default" w:ascii="Times New Roman" w:hAnsi="Times New Roman" w:eastAsia="仿宋_GB2312" w:cs="Times New Roman"/>
          <w:b/>
          <w:bCs/>
          <w:sz w:val="48"/>
          <w:szCs w:val="56"/>
          <w:lang w:val="en-US" w:eastAsia="zh-CN"/>
        </w:rPr>
        <w:t xml:space="preserve">目 </w:t>
      </w:r>
      <w:r>
        <w:rPr>
          <w:rFonts w:hint="eastAsia" w:ascii="Times New Roman" w:hAnsi="Times New Roman" w:eastAsia="仿宋_GB2312" w:cs="Times New Roman"/>
          <w:b/>
          <w:bCs/>
          <w:sz w:val="48"/>
          <w:szCs w:val="56"/>
          <w:lang w:val="en-US" w:eastAsia="zh-CN"/>
        </w:rPr>
        <w:t xml:space="preserve"> </w:t>
      </w:r>
      <w:r>
        <w:rPr>
          <w:rFonts w:hint="default" w:ascii="Times New Roman" w:hAnsi="Times New Roman" w:eastAsia="仿宋_GB2312" w:cs="Times New Roman"/>
          <w:b/>
          <w:bCs/>
          <w:sz w:val="48"/>
          <w:szCs w:val="56"/>
          <w:lang w:val="en-US" w:eastAsia="zh-CN"/>
        </w:rPr>
        <w:t>录</w:t>
      </w:r>
    </w:p>
    <w:sdt>
      <w:sdtPr>
        <w:rPr>
          <w:rFonts w:ascii="宋体" w:hAnsi="宋体" w:eastAsia="宋体" w:cs="Times New Roman"/>
          <w:kern w:val="2"/>
          <w:sz w:val="21"/>
          <w:szCs w:val="24"/>
          <w:lang w:val="en-US" w:eastAsia="zh-CN" w:bidi="ar-SA"/>
        </w:rPr>
        <w:id w:val="147452945"/>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FAC756D">
          <w:pPr>
            <w:spacing w:before="0" w:beforeLines="0" w:after="0" w:afterLines="0" w:line="240" w:lineRule="auto"/>
            <w:ind w:left="0" w:leftChars="0" w:right="0" w:rightChars="0" w:firstLine="0" w:firstLineChars="0"/>
            <w:jc w:val="center"/>
          </w:pPr>
        </w:p>
        <w:p w14:paraId="134F928F">
          <w:pPr>
            <w:pStyle w:val="8"/>
            <w:keepNext w:val="0"/>
            <w:keepLines w:val="0"/>
            <w:pageBreakBefore w:val="0"/>
            <w:widowControl w:val="0"/>
            <w:tabs>
              <w:tab w:val="right" w:leader="dot" w:pos="8845"/>
            </w:tabs>
            <w:kinsoku/>
            <w:wordWrap/>
            <w:overflowPunct/>
            <w:topLinePunct w:val="0"/>
            <w:autoSpaceDE/>
            <w:autoSpaceDN/>
            <w:bidi w:val="0"/>
            <w:adjustRightInd/>
            <w:snapToGrid/>
            <w:ind w:left="0" w:leftChars="0" w:firstLine="630" w:firstLineChars="300"/>
            <w:textAlignment w:val="auto"/>
            <w:rPr>
              <w:sz w:val="32"/>
              <w:szCs w:val="32"/>
            </w:rPr>
          </w:pPr>
          <w:r>
            <w:fldChar w:fldCharType="begin"/>
          </w:r>
          <w:r>
            <w:instrText xml:space="preserve">TOC \o "1-3" \h \u </w:instrText>
          </w:r>
          <w:r>
            <w:fldChar w:fldCharType="separate"/>
          </w:r>
          <w:r>
            <w:rPr>
              <w:rFonts w:hint="eastAsia" w:ascii="楷体_GB2312" w:hAnsi="楷体_GB2312" w:eastAsia="楷体_GB2312" w:cs="楷体_GB2312"/>
              <w:b/>
              <w:bCs/>
              <w:sz w:val="32"/>
              <w:szCs w:val="32"/>
            </w:rPr>
            <w:fldChar w:fldCharType="begin"/>
          </w:r>
          <w:r>
            <w:rPr>
              <w:rFonts w:hint="eastAsia" w:ascii="楷体_GB2312" w:hAnsi="楷体_GB2312" w:eastAsia="楷体_GB2312" w:cs="楷体_GB2312"/>
              <w:b/>
              <w:bCs/>
              <w:sz w:val="32"/>
              <w:szCs w:val="32"/>
            </w:rPr>
            <w:instrText xml:space="preserve"> HYPERLINK \l _Toc20657 </w:instrText>
          </w:r>
          <w:r>
            <w:rPr>
              <w:rFonts w:hint="eastAsia" w:ascii="楷体_GB2312" w:hAnsi="楷体_GB2312" w:eastAsia="楷体_GB2312" w:cs="楷体_GB2312"/>
              <w:b/>
              <w:bCs/>
              <w:sz w:val="32"/>
              <w:szCs w:val="32"/>
            </w:rPr>
            <w:fldChar w:fldCharType="separate"/>
          </w:r>
          <w:r>
            <w:rPr>
              <w:rFonts w:hint="eastAsia" w:ascii="楷体_GB2312" w:hAnsi="楷体_GB2312" w:eastAsia="楷体_GB2312" w:cs="楷体_GB2312"/>
              <w:b/>
              <w:bCs/>
              <w:sz w:val="32"/>
              <w:szCs w:val="32"/>
              <w:lang w:val="en-US" w:eastAsia="zh-CN"/>
            </w:rPr>
            <w:t>一、重要会议、讲话、文件精神</w:t>
          </w:r>
          <w:r>
            <w:rPr>
              <w:rFonts w:hint="eastAsia" w:ascii="楷体_GB2312" w:hAnsi="楷体_GB2312" w:eastAsia="楷体_GB2312" w:cs="楷体_GB2312"/>
              <w:b/>
              <w:bCs/>
              <w:sz w:val="32"/>
              <w:szCs w:val="32"/>
            </w:rPr>
            <w:tab/>
          </w:r>
          <w:r>
            <w:rPr>
              <w:rFonts w:hint="eastAsia" w:ascii="楷体_GB2312" w:hAnsi="楷体_GB2312" w:eastAsia="楷体_GB2312" w:cs="楷体_GB2312"/>
              <w:b w:val="0"/>
              <w:bCs w:val="0"/>
              <w:sz w:val="32"/>
              <w:szCs w:val="32"/>
            </w:rPr>
            <w:fldChar w:fldCharType="begin"/>
          </w:r>
          <w:r>
            <w:rPr>
              <w:rFonts w:hint="eastAsia" w:ascii="楷体_GB2312" w:hAnsi="楷体_GB2312" w:eastAsia="楷体_GB2312" w:cs="楷体_GB2312"/>
              <w:b w:val="0"/>
              <w:bCs w:val="0"/>
              <w:sz w:val="32"/>
              <w:szCs w:val="32"/>
            </w:rPr>
            <w:instrText xml:space="preserve"> PAGEREF _Toc20657 \h </w:instrText>
          </w:r>
          <w:r>
            <w:rPr>
              <w:rFonts w:hint="eastAsia" w:ascii="楷体_GB2312" w:hAnsi="楷体_GB2312" w:eastAsia="楷体_GB2312" w:cs="楷体_GB2312"/>
              <w:b w:val="0"/>
              <w:bCs w:val="0"/>
              <w:sz w:val="32"/>
              <w:szCs w:val="32"/>
            </w:rPr>
            <w:fldChar w:fldCharType="separate"/>
          </w:r>
          <w:r>
            <w:rPr>
              <w:rFonts w:hint="eastAsia" w:ascii="楷体_GB2312" w:hAnsi="楷体_GB2312" w:eastAsia="楷体_GB2312" w:cs="楷体_GB2312"/>
              <w:b w:val="0"/>
              <w:bCs w:val="0"/>
              <w:sz w:val="32"/>
              <w:szCs w:val="32"/>
            </w:rPr>
            <w:t>1</w:t>
          </w:r>
          <w:r>
            <w:rPr>
              <w:rFonts w:hint="eastAsia" w:ascii="楷体_GB2312" w:hAnsi="楷体_GB2312" w:eastAsia="楷体_GB2312" w:cs="楷体_GB2312"/>
              <w:b w:val="0"/>
              <w:bCs w:val="0"/>
              <w:sz w:val="32"/>
              <w:szCs w:val="32"/>
            </w:rPr>
            <w:fldChar w:fldCharType="end"/>
          </w:r>
          <w:r>
            <w:rPr>
              <w:rFonts w:hint="eastAsia" w:ascii="楷体_GB2312" w:hAnsi="楷体_GB2312" w:eastAsia="楷体_GB2312" w:cs="楷体_GB2312"/>
              <w:b/>
              <w:bCs/>
              <w:sz w:val="32"/>
              <w:szCs w:val="32"/>
            </w:rPr>
            <w:fldChar w:fldCharType="end"/>
          </w:r>
        </w:p>
        <w:p w14:paraId="10F05873">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_Toc20204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lang w:val="en-US" w:eastAsia="zh-CN"/>
            </w:rPr>
            <w:t>1.前瞻布局和发展未来产业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_Toc20204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57FA95F">
          <w:pPr>
            <w:pStyle w:val="8"/>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3" w:firstLineChars="200"/>
            <w:textAlignment w:val="auto"/>
            <w:rPr>
              <w:b/>
              <w:bCs/>
              <w:sz w:val="32"/>
              <w:szCs w:val="32"/>
            </w:rPr>
          </w:pPr>
          <w:r>
            <w:rPr>
              <w:b/>
              <w:bCs/>
              <w:sz w:val="32"/>
              <w:szCs w:val="32"/>
            </w:rPr>
            <w:fldChar w:fldCharType="begin"/>
          </w:r>
          <w:r>
            <w:rPr>
              <w:b/>
              <w:bCs/>
              <w:sz w:val="32"/>
              <w:szCs w:val="32"/>
            </w:rPr>
            <w:instrText xml:space="preserve"> HYPERLINK \l _Toc19672 </w:instrText>
          </w:r>
          <w:r>
            <w:rPr>
              <w:b/>
              <w:bCs/>
              <w:sz w:val="32"/>
              <w:szCs w:val="32"/>
            </w:rPr>
            <w:fldChar w:fldCharType="separate"/>
          </w:r>
          <w:r>
            <w:rPr>
              <w:rFonts w:hint="eastAsia" w:ascii="楷体_GB2312" w:hAnsi="楷体_GB2312" w:eastAsia="楷体_GB2312" w:cs="楷体_GB2312"/>
              <w:b/>
              <w:bCs/>
              <w:sz w:val="32"/>
              <w:szCs w:val="32"/>
              <w:lang w:val="en-US" w:eastAsia="zh-CN"/>
            </w:rPr>
            <w:t>二、重要文章、报道</w:t>
          </w:r>
          <w:r>
            <w:rPr>
              <w:rFonts w:hint="eastAsia" w:ascii="楷体_GB2312" w:hAnsi="楷体_GB2312" w:eastAsia="楷体_GB2312" w:cs="楷体_GB2312"/>
              <w:b/>
              <w:bCs/>
              <w:sz w:val="32"/>
              <w:szCs w:val="32"/>
            </w:rPr>
            <w:tab/>
          </w:r>
          <w:r>
            <w:rPr>
              <w:b w:val="0"/>
              <w:bCs w:val="0"/>
              <w:sz w:val="32"/>
              <w:szCs w:val="32"/>
            </w:rPr>
            <w:fldChar w:fldCharType="begin"/>
          </w:r>
          <w:r>
            <w:rPr>
              <w:b w:val="0"/>
              <w:bCs w:val="0"/>
              <w:sz w:val="32"/>
              <w:szCs w:val="32"/>
            </w:rPr>
            <w:instrText xml:space="preserve"> PAGEREF _Toc19672 \h </w:instrText>
          </w:r>
          <w:r>
            <w:rPr>
              <w:b w:val="0"/>
              <w:bCs w:val="0"/>
              <w:sz w:val="32"/>
              <w:szCs w:val="32"/>
            </w:rPr>
            <w:fldChar w:fldCharType="separate"/>
          </w:r>
          <w:r>
            <w:rPr>
              <w:b w:val="0"/>
              <w:bCs w:val="0"/>
              <w:sz w:val="32"/>
              <w:szCs w:val="32"/>
            </w:rPr>
            <w:t>5</w:t>
          </w:r>
          <w:r>
            <w:rPr>
              <w:b w:val="0"/>
              <w:bCs w:val="0"/>
              <w:sz w:val="32"/>
              <w:szCs w:val="32"/>
            </w:rPr>
            <w:fldChar w:fldCharType="end"/>
          </w:r>
          <w:r>
            <w:rPr>
              <w:b/>
              <w:bCs/>
              <w:sz w:val="32"/>
              <w:szCs w:val="32"/>
            </w:rPr>
            <w:fldChar w:fldCharType="end"/>
          </w:r>
        </w:p>
        <w:p w14:paraId="7C51173F">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_Toc7470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1.《求是》杂志发表习近平总书记重要文章前瞻布局和发展未来产业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993509">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_Toc29194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2.习近平回信勉励中共一大纪念馆、南湖革命纪念馆少先队红领巾讲解员 传承红色基因增长知识本领 在新征程上跑好历史接力赛 祝全国小朋友们“六一”国际儿童节快乐</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_Toc29194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484D7B8">
          <w:pPr>
            <w:pStyle w:val="9"/>
            <w:keepNext w:val="0"/>
            <w:keepLines w:val="0"/>
            <w:pageBreakBefore w:val="0"/>
            <w:widowControl w:val="0"/>
            <w:tabs>
              <w:tab w:val="right" w:leader="dot" w:pos="8845"/>
            </w:tabs>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_Toc30029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3.习近平复信参加“共航蔚蓝：中美青年友谊行”活动的两国学生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_Toc30029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EDC8AC5">
          <w:pPr>
            <w:keepNext w:val="0"/>
            <w:keepLines w:val="0"/>
            <w:pageBreakBefore w:val="0"/>
            <w:widowControl w:val="0"/>
            <w:kinsoku/>
            <w:wordWrap/>
            <w:overflowPunct/>
            <w:topLinePunct w:val="0"/>
            <w:autoSpaceDE/>
            <w:autoSpaceDN/>
            <w:bidi w:val="0"/>
            <w:adjustRightInd/>
            <w:snapToGrid/>
            <w:ind w:firstLine="420" w:firstLineChars="200"/>
            <w:textAlignment w:val="auto"/>
            <w:sectPr>
              <w:footerReference r:id="rId4" w:type="default"/>
              <w:pgSz w:w="11906" w:h="16838"/>
              <w:pgMar w:top="2098" w:right="1474" w:bottom="1984" w:left="1587" w:header="851" w:footer="992" w:gutter="0"/>
              <w:pgNumType w:fmt="decimal" w:start="1"/>
              <w:cols w:space="0" w:num="1"/>
              <w:rtlGutter w:val="0"/>
              <w:docGrid w:type="lines" w:linePitch="312" w:charSpace="0"/>
            </w:sectPr>
          </w:pPr>
          <w:bookmarkStart w:id="6" w:name="_GoBack"/>
          <w:bookmarkEnd w:id="6"/>
          <w:r>
            <w:fldChar w:fldCharType="end"/>
          </w:r>
        </w:p>
      </w:sdtContent>
    </w:sdt>
    <w:p w14:paraId="51F3D89E">
      <w:pPr>
        <w:spacing w:line="560" w:lineRule="exact"/>
        <w:ind w:firstLine="643" w:firstLineChars="200"/>
        <w:outlineLvl w:val="0"/>
        <w:rPr>
          <w:rFonts w:hint="default" w:ascii="Times New Roman" w:hAnsi="Times New Roman" w:eastAsia="黑体" w:cs="Times New Roman"/>
          <w:b/>
          <w:bCs/>
          <w:sz w:val="32"/>
          <w:szCs w:val="40"/>
          <w:lang w:val="en-US" w:eastAsia="zh-CN"/>
        </w:rPr>
      </w:pPr>
      <w:bookmarkStart w:id="0" w:name="_Toc20657"/>
      <w:r>
        <w:rPr>
          <w:rFonts w:hint="default" w:ascii="Times New Roman" w:hAnsi="Times New Roman" w:eastAsia="黑体" w:cs="Times New Roman"/>
          <w:b/>
          <w:bCs/>
          <w:sz w:val="32"/>
          <w:szCs w:val="40"/>
          <w:lang w:val="en-US" w:eastAsia="zh-CN"/>
        </w:rPr>
        <w:t>一、重要会议、讲话、文件精神</w:t>
      </w:r>
      <w:bookmarkEnd w:id="0"/>
    </w:p>
    <w:p w14:paraId="16036164">
      <w:pPr>
        <w:spacing w:line="560" w:lineRule="exact"/>
        <w:ind w:firstLine="643" w:firstLineChars="200"/>
        <w:outlineLvl w:val="1"/>
        <w:rPr>
          <w:rFonts w:hint="default" w:ascii="Times New Roman" w:hAnsi="Times New Roman" w:eastAsia="楷体_GB2312" w:cs="Times New Roman"/>
          <w:b/>
          <w:bCs/>
          <w:sz w:val="32"/>
          <w:szCs w:val="32"/>
          <w:lang w:val="en-US" w:eastAsia="zh-CN"/>
        </w:rPr>
      </w:pPr>
      <w:bookmarkStart w:id="1" w:name="_Toc20204"/>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lang w:val="en-US" w:eastAsia="zh-CN"/>
        </w:rPr>
        <w:t>.前瞻布局和发展未来产业</w:t>
      </w:r>
      <w:bookmarkEnd w:id="1"/>
    </w:p>
    <w:p w14:paraId="3F4A5B9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018BC8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前瞻布局和发展未来产业</w:t>
      </w:r>
    </w:p>
    <w:p w14:paraId="78D2076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w:t>
      </w:r>
    </w:p>
    <w:p w14:paraId="2850F75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p>
    <w:p w14:paraId="4732A0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今天进行二十届中央政治局第二十四次集体学习，内容是前瞻布局和发展未来产业，主要是总结近年来我国未来产业发展情况，分析世界未来产业发展趋势，对培育发展未来产业进行思考。</w:t>
      </w:r>
    </w:p>
    <w:p w14:paraId="6F748A1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当前，新一轮科技革命和产业变革加速演进，前沿技术不断涌现，引领和支撑未来产业快速崛起。培育发展未来产业，对于我们抢占科技和产业制高点、牢牢把握发展主动权，对于发展新质生产力、建设现代化产业体系，对于提高人民生活品质、促进人的全面发展和社会全面进步，都具有重要意义。</w:t>
      </w:r>
    </w:p>
    <w:p w14:paraId="159A859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近年来，党中央高度重视未来产业发展，加强战略谋划，强化政策支持，推动未来产业发展呈现良好势头，整体竞争力跻身全球第一梯队，越来越多领域实现“并跑”乃至“领跑”。同时要看到，我们的短板弱项也不少。新征程上，我们要站在推进强国建设、民族复兴伟业的战略高度，立足客观条件，发挥比较优势，坚持稳中求进、梯度培育，推动我国未来产业发展不断取得新突破。</w:t>
      </w:r>
    </w:p>
    <w:p w14:paraId="591A108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  2026年2月9日至10日，中共中央总书记、国家主席、中央军委主席习近平在北京考察并看望慰问基层干部群众。这是9日上午，习近平在位于北京亦庄的国家信创园考察。</w:t>
      </w:r>
    </w:p>
    <w:p w14:paraId="00D7ED9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  下面，我强调几点。</w:t>
      </w:r>
    </w:p>
    <w:p w14:paraId="4B3AEE5C">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第一，加强统筹谋划。未来产业具有前瞻性、战略性、颠覆性等特点，需要科学谋划、全局统筹。要把准发展方向。方向明，才能路子正、步履坚。党的二十届四中全会提出，要推动量子科技、生物制造、氢能和核聚变能、脑机接口、具身智能、第六代移动通信等成为新的经济增长点。这些领域是“十五五”时期我国未来产业发展的主攻方向，要聚焦发力、精准施策，确保取得明显进展。要科学论证技术路线。重点是提升前沿技术战略预判能力，加强多元技术路线探索并及时动态调整。要把握发展节奏。综合考虑国家战略需求、技术成熟程度、要素支撑条件等因素，把需要和可能统一起来，分门别类制定实施规划，做到先易后难、由近及远，积极稳步推进。特别是要引导各地牢固树立和践行正确政绩观，坚持全国一盘棋，因地制宜、错位发展，防止盲目“跟风”上项目、乱“烧钱”。要强化产业协同。未来产业与传统产业、新兴产业相辅相成、相互促进，传统产业底子雄厚，未来产业、新兴产业发展就会有后劲。要坚持联动发展，防止单兵突进，推动未来产业同新兴产业、传统产业相得益彰。</w:t>
      </w:r>
    </w:p>
    <w:p w14:paraId="5C1F89C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第二，坚持以科技创新为引领。科技突破的程度，很大程度上决定未来产业发展的速度、广度、深度。要充分发挥新型举国体制优势，强化国家战略科技力量作用，坚持“产业出题、科技答题”，大力提升科技支撑引领能力。要立足当前，采取超常规措施，加大重点领域关键核心技术攻关力度，尽快解决制约未来产业发展的“卡脖子”问题；着眼长远，加强基础研究战略性、前瞻性、体系化布局，强化科学研究、技术开发原始创新导向，努力从根本上解决原理性、基础性问题；推动科技创新和产业创新深度融合，加快科技成果转化应用，努力将科研创造力转化为现实生产力。</w:t>
      </w:r>
    </w:p>
    <w:p w14:paraId="215C5DD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第三，发挥企业主体作用。企业是创新的主体，很多未来产业的兴起是靠企业一步步突破带动的。要通过政策引导、机制创新、生态优化，推动各类创新资源向企业集聚，大力培育核心技术领先、创新能力强的科技领军企业和高新技术企业，引领带动产业向前沿和高端领域迈进。中央企业是科技创新的国家队，也应成为未来产业的主力军。要支持中央企业结合主责主业发展未来产业，切实增强核心功能，提升核心竞争力。要强化公共服务供给，培育一大批科技型中小企业、专精特新企业、单项冠军企业、独角兽企业，形成百花竞放、百舸争流的生动局面。</w:t>
      </w:r>
    </w:p>
    <w:p w14:paraId="3E314678">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第四，营造良好政策环境。未来产业培育周期长、市场风险大，政策上要大力支持，政府要做好服务。要完善财税等政策，加大对未来产业的投入。大力发展科技金融，构建与未来产业全生命周期融资需求相适应的金融服务体系，引导长期资本投早、投小、投长期、投硬科技。优化政府采购等政策，支持首台（套）、首批次商品的推广应用。人才是未来产业发展最宝贵的资源。要全方位做好人才培养、引进、使用工作，在全社会营造鼓励创新、宽容失败的浓厚氛围，充分调动人才创新创业积极性。</w:t>
      </w:r>
    </w:p>
    <w:p w14:paraId="1FE851D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第五，健全治理体系。未来产业发展涉及面广，必须加强协同治理，防止出现政出多门、力量分散等情况。要坚持和加强党中央集中统一领导，健全部际协同和央地协作机制。要统筹发展和安全，探索科学有效的监管方式，构建技术监测、风险预警、应急响应体系，前瞻应对技术失控、伦理失范、数据滥用等新型风险，确保既“放得活”又“管得好”，为技术创新和产业发展营造良好环境。要不断深化国际合作，积极参与全球治理，努力推动各方标准共建、规则共商、产业共促。</w:t>
      </w:r>
    </w:p>
    <w:p w14:paraId="6C9E8B01">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未来产业技术迭代快、影响因素多、决策风险大，对我们的领导能力和治理水平提出了更高要求。我曾经说过，如果我们对科技变化趋势不掌握、对新兴领域情况不了解，处于“盲人摸象”的状态是不行的。各级领导干部要切实加强科技前沿知识学习，提高专业化能力，努力做到知科技、懂产业、善决策。</w:t>
      </w:r>
    </w:p>
    <w:p w14:paraId="1A195EFE">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  ※这是习近平总书记2026年1月30日在二十届中央政治局第二十四次集体学习时的讲话。</w:t>
      </w:r>
    </w:p>
    <w:p w14:paraId="24A78DE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 xml:space="preserve">《求是》2026/11 </w:t>
      </w:r>
    </w:p>
    <w:p w14:paraId="0416BF0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22BCC93F">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b/>
          <w:bCs/>
          <w:lang w:val="en-US" w:eastAsia="zh-CN"/>
        </w:rPr>
      </w:pPr>
      <w:bookmarkStart w:id="2" w:name="_Toc19672"/>
      <w:r>
        <w:rPr>
          <w:rFonts w:hint="eastAsia"/>
          <w:b/>
          <w:bCs/>
          <w:lang w:val="en-US" w:eastAsia="zh-CN"/>
        </w:rPr>
        <w:t>二</w:t>
      </w:r>
      <w:r>
        <w:rPr>
          <w:rFonts w:hint="default"/>
          <w:b/>
          <w:bCs/>
          <w:lang w:val="en-US" w:eastAsia="zh-CN"/>
        </w:rPr>
        <w:t>、重要</w:t>
      </w:r>
      <w:r>
        <w:rPr>
          <w:rFonts w:hint="eastAsia"/>
          <w:b/>
          <w:bCs/>
          <w:lang w:val="en-US" w:eastAsia="zh-CN"/>
        </w:rPr>
        <w:t>文章、报道</w:t>
      </w:r>
      <w:bookmarkEnd w:id="2"/>
    </w:p>
    <w:p w14:paraId="48815A40">
      <w:pPr>
        <w:pStyle w:val="3"/>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lang w:val="en-US" w:eastAsia="zh-CN"/>
        </w:rPr>
      </w:pPr>
      <w:bookmarkStart w:id="3" w:name="_Toc7470"/>
      <w:r>
        <w:rPr>
          <w:rFonts w:hint="eastAsia"/>
          <w:lang w:val="en-US" w:eastAsia="zh-CN"/>
        </w:rPr>
        <w:t>1.《求是》杂志发表习近平文章前瞻布总书记重要局和发展未来产业</w:t>
      </w:r>
      <w:bookmarkEnd w:id="3"/>
    </w:p>
    <w:p w14:paraId="0F66EB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39E166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《求是》杂志发表习近平总书记重要文章</w:t>
      </w:r>
    </w:p>
    <w:p w14:paraId="2156C89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前瞻布局和发展未来产业</w:t>
      </w:r>
    </w:p>
    <w:p w14:paraId="381D1687">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p>
    <w:p w14:paraId="4F3AAE4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新华社北京5月31日电 6月1日出版的第11期《求是》杂志将发表中共中央总书记、国家主席、中央军委主席习近平的重要文章《前瞻布局和发展未来产业》。</w:t>
      </w:r>
    </w:p>
    <w:p w14:paraId="18649C7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强调，培育发展未来产业，对于我们抢占科技和产业制高点、牢牢把握发展主动权，对于发展新质生产力、建设现代化产业体系，对于提高人民生活品质、促进人的全面发展和社会全面进步，都具有重要意义。近年来，党中央高度重视未来产业发展，加强战略谋划，强化政策支持，推动未来产业发展呈现良好势头。新征程上，我们要站在推进强国建设、民族复兴伟业的战略高度，立足客观条件，发挥比较优势，坚持稳中求进、梯度培育，推动我国未来产业发展不断取得新突破。</w:t>
      </w:r>
    </w:p>
    <w:p w14:paraId="10BDEB7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指出，要加强统筹谋划。未来产业具有前瞻性、战略性、颠覆性等特点，需要科学谋划、全局统筹。要把准发展方向，在量子科技、生物制造等领域聚焦发力、精准施策。科学论证技术路线，提升前沿技术战略预判能力。把握发展节奏，综合考虑国家战略需求、技术成熟程度、要素支撑条件等因素，因地制宜、错位发展。强化产业协同，坚持联动发展，推动未来产业同新兴产业、传统产业相得益彰。</w:t>
      </w:r>
    </w:p>
    <w:p w14:paraId="5BA02EF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指出，要坚持以科技创新为引领。科技突破的程度，很大程度上决定未来产业发展的速度、广度、深度。要充分发挥新型举国体制优势，坚持“产业出题、科技答题”，大力提升科技支撑引领能力。加大重点领域关键核心技术攻关力度，加强基础研究战略性、前瞻性、体系化布局，加快科技成果转化应用。</w:t>
      </w:r>
    </w:p>
    <w:p w14:paraId="256F338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指出，要发挥企业主体作用。企业是创新的主体，很多未来产业的兴起是靠企业一步步突破带动的。要推动各类创新资源向企业集聚，大力培育核心技术领先、创新能力强的科技领军企业和高新技术企业。支持中央企业结合主责主业发展未来产业，提升核心竞争力。强化公共服务供给，培育一大批科技型中小企业、专精特新企业、单项冠军企业、独角兽企业。</w:t>
      </w:r>
    </w:p>
    <w:p w14:paraId="1EF76AF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指出，要营造良好政策环境。未来产业培育周期长、市场风险大，政策上要大力支持，政府要做好服务。要完善财税等政策，大力发展科技金融，优化政府采购等政策。全方位做好人才培养、引进、使用工作，在全社会营造鼓励创新的浓厚氛围，充分调动人才创新创业积极性。</w:t>
      </w:r>
    </w:p>
    <w:p w14:paraId="0D3024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指出，要健全治理体系。未来产业发展涉及面广，必须加强协同治理，统筹发展和安全，探索科学有效的监管方式，构建技术监测、风险预警、应急响应体系，确保既“放得活”又“管得好”。不断深化国际合作，努力推动各方标准共建、规则共商、产业共促。</w:t>
      </w:r>
    </w:p>
    <w:p w14:paraId="056FD9E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文章强调，未来产业技术迭代快、影响因素多、决策风险大，对我们的领导能力和治理水平提出了更高要求。各级领导干部要切实加强科技前沿知识学习，提高专业化能力，努力做到知科技、懂产业、善决策。</w:t>
      </w:r>
    </w:p>
    <w:p w14:paraId="1638B615">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Times New Roman"/>
          <w:kern w:val="2"/>
          <w:sz w:val="32"/>
          <w:szCs w:val="32"/>
          <w:lang w:val="en-US" w:eastAsia="zh-CN" w:bidi="ar-SA"/>
        </w:rPr>
      </w:pPr>
    </w:p>
    <w:p w14:paraId="4F434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《人民日报》（2026年06月01日01版）</w:t>
      </w:r>
    </w:p>
    <w:p w14:paraId="4B7967E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br w:type="page"/>
      </w:r>
    </w:p>
    <w:p w14:paraId="01A4539C">
      <w:pPr>
        <w:pStyle w:val="3"/>
        <w:bidi w:val="0"/>
        <w:ind w:firstLine="643" w:firstLineChars="200"/>
        <w:rPr>
          <w:rFonts w:hint="eastAsia" w:ascii="楷体_GB2312" w:hAnsi="楷体_GB2312" w:eastAsia="楷体_GB2312" w:cs="楷体_GB2312"/>
          <w:b/>
          <w:bCs/>
          <w:kern w:val="2"/>
          <w:sz w:val="32"/>
          <w:szCs w:val="32"/>
          <w:lang w:val="en-US" w:eastAsia="zh-CN" w:bidi="ar-SA"/>
        </w:rPr>
      </w:pPr>
      <w:bookmarkStart w:id="4" w:name="_Toc29194"/>
      <w:r>
        <w:rPr>
          <w:rFonts w:hint="eastAsia" w:ascii="楷体_GB2312" w:hAnsi="楷体_GB2312" w:eastAsia="楷体_GB2312" w:cs="楷体_GB2312"/>
          <w:lang w:val="en-US" w:eastAsia="zh-CN"/>
        </w:rPr>
        <w:t>2.习近平回信勉励中共一大纪念馆、南湖革命纪念馆少先队红领巾讲解员</w:t>
      </w:r>
      <w:r>
        <w:rPr>
          <w:rFonts w:hint="eastAsia" w:ascii="楷体_GB2312" w:hAnsi="楷体_GB2312" w:cs="楷体_GB2312"/>
          <w:lang w:val="en-US" w:eastAsia="zh-CN"/>
        </w:rPr>
        <w:t xml:space="preserve"> </w:t>
      </w:r>
      <w:r>
        <w:rPr>
          <w:rFonts w:hint="eastAsia" w:ascii="楷体_GB2312" w:hAnsi="楷体_GB2312" w:eastAsia="楷体_GB2312" w:cs="楷体_GB2312"/>
          <w:lang w:val="en-US" w:eastAsia="zh-CN"/>
        </w:rPr>
        <w:t>传承红色基因增长知识本领 在新征程上跑好历史接力赛</w:t>
      </w:r>
      <w:r>
        <w:rPr>
          <w:rFonts w:hint="eastAsia" w:ascii="楷体_GB2312" w:hAnsi="楷体_GB2312" w:cs="楷体_GB2312"/>
          <w:lang w:val="en-US" w:eastAsia="zh-CN"/>
        </w:rPr>
        <w:t xml:space="preserve"> </w:t>
      </w:r>
      <w:r>
        <w:rPr>
          <w:rFonts w:hint="eastAsia" w:ascii="楷体_GB2312" w:hAnsi="楷体_GB2312" w:eastAsia="楷体_GB2312" w:cs="楷体_GB2312"/>
          <w:lang w:val="en-US" w:eastAsia="zh-CN"/>
        </w:rPr>
        <w:t>祝全国小朋友们“六一”国际儿童节快乐</w:t>
      </w:r>
      <w:bookmarkEnd w:id="4"/>
    </w:p>
    <w:p w14:paraId="40452BC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习近平回信勉励中共一大纪念馆、南湖革命</w:t>
      </w:r>
    </w:p>
    <w:p w14:paraId="120100C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纪念馆少先队红领巾讲解员 传承红色基因</w:t>
      </w:r>
    </w:p>
    <w:p w14:paraId="41FD6B7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增长知识本领 在新征程上跑好历史接力赛</w:t>
      </w:r>
    </w:p>
    <w:p w14:paraId="52CEBF3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祝全国小朋友们“六一”国际儿童节快乐</w:t>
      </w:r>
    </w:p>
    <w:p w14:paraId="53698F4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kern w:val="2"/>
          <w:sz w:val="32"/>
          <w:szCs w:val="32"/>
          <w:lang w:val="en-US" w:eastAsia="zh-CN" w:bidi="ar-SA"/>
        </w:rPr>
      </w:pPr>
    </w:p>
    <w:p w14:paraId="3AB844AC">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回 信</w:t>
      </w:r>
    </w:p>
    <w:p w14:paraId="54B1D7C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中共一大纪念馆、南湖革命纪念馆少先队红领巾讲解员：</w:t>
      </w:r>
    </w:p>
    <w:p w14:paraId="27A41A8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来信收到了。得知你们在一大会址和南湖红船旁，用心用情讲述党的历史、革命故事和英雄事迹，厚植了爱党、爱国、爱社会主义的情感，得到了锻炼与成长，我感到欣慰。</w:t>
      </w:r>
    </w:p>
    <w:p w14:paraId="5F17C7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今年是中国共产党成立105周年，党的事业需要一代又一代人接续奋斗。希望你们高举队旗跟党走，传承红色基因，增长知识本领，磨练意志品质，做党和人民的红孩子，在新征程上跑好历史接力赛。</w:t>
      </w:r>
    </w:p>
    <w:p w14:paraId="0B2F50D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“六一”国际儿童节就要到了，祝你们和全国的小朋友们节日快乐！</w:t>
      </w:r>
    </w:p>
    <w:p w14:paraId="58DF7A6A">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w:t>
      </w:r>
      <w:r>
        <w:rPr>
          <w:rFonts w:hint="eastAsia" w:ascii="Times New Roman" w:hAnsi="Times New Roman" w:eastAsia="仿宋_GB2312" w:cs="Times New Roman"/>
          <w:kern w:val="2"/>
          <w:sz w:val="32"/>
          <w:szCs w:val="32"/>
          <w:lang w:val="en-US" w:eastAsia="zh-CN" w:bidi="ar-SA"/>
        </w:rPr>
        <w:t xml:space="preserve">     </w:t>
      </w:r>
    </w:p>
    <w:p w14:paraId="1B75D006">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2026年5月30日</w:t>
      </w:r>
    </w:p>
    <w:p w14:paraId="117B38C8">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（新华社北京5月31日电）</w:t>
      </w:r>
    </w:p>
    <w:p w14:paraId="244F6A8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新华社北京5月31日电 在“六一”国际儿童节即将到来之际，中共中央总书记、国家主席、中央军委主席习近平给中共一大纪念馆、南湖革命纪念馆少先队红领巾讲解员回信，对他们予以亲切勉励，并祝他们和全国的少年儿童节日快乐。</w:t>
      </w:r>
    </w:p>
    <w:p w14:paraId="6F5FE3C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习近平在回信中说，得知你们在一大会址和南湖红船旁，用心用情讲述党的历史、革命故事和英雄事迹，厚植了爱党、爱国、爱社会主义的情感，得到了锻炼与成长，我感到欣慰。</w:t>
      </w:r>
    </w:p>
    <w:p w14:paraId="07A197C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强调，今年是中国共产党成立105周年，党的事业需要一代又一代人接续奋斗。希望你们高举队旗跟党走，传承红色基因，增长知识本领，磨练意志品质，做党和人民的红孩子，在新征程上跑好历史接力赛。（回信全文另发）</w:t>
      </w:r>
    </w:p>
    <w:p w14:paraId="65C4A95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2021年，“党的故事我来讲——争做红领巾讲解员”实践体验活动正式启动，各地组织少先队员走进红色场馆学习党的历史、讲解党的故事。近日，上海中共一大纪念馆、浙江嘉兴南湖革命纪念馆的少先队红领巾讲解员代表给习近平总书记写信，汇报参加讲解活动的收获和成长，表达争做新时代好少年的决心。。</w:t>
      </w:r>
    </w:p>
    <w:p w14:paraId="485F21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Times New Roman" w:hAnsi="Times New Roman" w:eastAsia="仿宋_GB2312" w:cs="Times New Roman"/>
          <w:kern w:val="2"/>
          <w:sz w:val="32"/>
          <w:szCs w:val="32"/>
          <w:lang w:val="en-US" w:eastAsia="zh-CN" w:bidi="ar-SA"/>
        </w:rPr>
      </w:pPr>
    </w:p>
    <w:p w14:paraId="3B79156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《人民日报》（2026年06月01日01版）</w:t>
      </w:r>
    </w:p>
    <w:p w14:paraId="29CD423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default" w:ascii="Times New Roman" w:hAnsi="Times New Roman" w:eastAsia="仿宋_GB2312" w:cs="Times New Roman"/>
          <w:kern w:val="2"/>
          <w:sz w:val="32"/>
          <w:szCs w:val="32"/>
          <w:lang w:val="en-US" w:eastAsia="zh-CN" w:bidi="ar-SA"/>
        </w:rPr>
        <w:sectPr>
          <w:footerReference r:id="rId5" w:type="default"/>
          <w:pgSz w:w="11906" w:h="16838"/>
          <w:pgMar w:top="2098" w:right="1474" w:bottom="1984" w:left="1587" w:header="851" w:footer="992" w:gutter="0"/>
          <w:pgNumType w:fmt="decimal" w:start="1"/>
          <w:cols w:space="0" w:num="1"/>
          <w:rtlGutter w:val="0"/>
          <w:docGrid w:type="lines" w:linePitch="312" w:charSpace="0"/>
        </w:sectPr>
      </w:pPr>
    </w:p>
    <w:p w14:paraId="540E4B63">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3" w:firstLineChars="200"/>
        <w:textAlignment w:val="auto"/>
        <w:rPr>
          <w:rFonts w:hint="default"/>
          <w:lang w:val="en-US" w:eastAsia="zh-CN"/>
        </w:rPr>
      </w:pPr>
      <w:bookmarkStart w:id="5" w:name="_Toc30029"/>
      <w:r>
        <w:rPr>
          <w:rFonts w:hint="eastAsia"/>
          <w:lang w:val="en-US" w:eastAsia="zh-CN"/>
        </w:rPr>
        <w:t>3.习近平复信参加“共航蔚蓝：中美青年友谊行”活动的两国学生</w:t>
      </w:r>
      <w:bookmarkEnd w:id="5"/>
    </w:p>
    <w:p w14:paraId="2DBC5E56">
      <w:pPr>
        <w:rPr>
          <w:rFonts w:hint="default"/>
          <w:lang w:val="en-US" w:eastAsia="zh-CN"/>
        </w:rPr>
      </w:pPr>
    </w:p>
    <w:p w14:paraId="484B9147">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习近平复信参加“共航蔚蓝：中美青年友谊行”活动的两国学生</w:t>
      </w:r>
    </w:p>
    <w:p w14:paraId="7C3A44B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方正小标宋简体" w:hAnsi="方正小标宋简体" w:eastAsia="方正小标宋简体" w:cs="方正小标宋简体"/>
          <w:kern w:val="2"/>
          <w:sz w:val="44"/>
          <w:szCs w:val="44"/>
          <w:lang w:val="en-US" w:eastAsia="zh-CN" w:bidi="ar-SA"/>
        </w:rPr>
      </w:pPr>
    </w:p>
    <w:p w14:paraId="0AF27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新华社北京5月28日电 5月23日，国家主席习近平复信参加“共航蔚蓝：中美青年友谊行”活动的两国学生。</w:t>
      </w:r>
    </w:p>
    <w:p w14:paraId="1F9805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表示，很高兴得知两国学生搭乘“中美青年友谊号”，共同经历了难忘的友谊之旅。中美友好的故事由人民书写，中美关系的未来由青年创造。2023年11月我提出“5年邀请5万名美国青少年来华交流学习”倡议以来，已有超过5万名美国青少年来华参访，提前两年半实现预期目标。在交往交流中，中美两国青少年双向奔赴，加深相互了解和理解，结下深厚友谊，书写了两国人民友好交流的崭新篇章。</w:t>
      </w:r>
    </w:p>
    <w:p w14:paraId="12F5F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习近平指出，青少年最富有朝气，最富有梦想，是中美关系的未来和希望，也是世界的未来和希望。期待更多中美青少年接过两国友好事业的接力棒，相互学习、共同进步，成为跨越太平洋的“友谊使者”，为中美关系稳定健康可持续发展作出新的贡献。</w:t>
      </w:r>
    </w:p>
    <w:p w14:paraId="2EC90F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近日，参加“共航蔚蓝：中美青年友谊行”活动的中美两国学生致信习近平主席，感谢“5年5万”倡议为两国青少年学习交流提供了宝贵机会。</w:t>
      </w:r>
    </w:p>
    <w:p w14:paraId="75A9B3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来源：</w:t>
      </w:r>
      <w:r>
        <w:rPr>
          <w:rFonts w:hint="default" w:ascii="Times New Roman" w:hAnsi="Times New Roman" w:eastAsia="仿宋_GB2312" w:cs="Times New Roman"/>
          <w:kern w:val="2"/>
          <w:sz w:val="32"/>
          <w:szCs w:val="32"/>
          <w:lang w:val="en-US" w:eastAsia="zh-CN" w:bidi="ar-SA"/>
        </w:rPr>
        <w:t>《人民日报》（2026年05月29日01版）</w:t>
      </w:r>
    </w:p>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A66E5F-A3F7-459A-8A66-6FC2A43108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14FBF638-E662-42DC-906E-26E9E2A2B45D}"/>
  </w:font>
  <w:font w:name="方正小标宋简体">
    <w:panose1 w:val="03000509000000000000"/>
    <w:charset w:val="86"/>
    <w:family w:val="auto"/>
    <w:pitch w:val="default"/>
    <w:sig w:usb0="00000001" w:usb1="080E0000" w:usb2="00000000" w:usb3="00000000" w:csb0="00040000" w:csb1="00000000"/>
    <w:embedRegular r:id="rId3" w:fontKey="{EA569306-5DCF-4CE4-A86B-129A51CB5841}"/>
  </w:font>
  <w:font w:name="仿宋_GB2312">
    <w:panose1 w:val="02010609030101010101"/>
    <w:charset w:val="86"/>
    <w:family w:val="modern"/>
    <w:pitch w:val="default"/>
    <w:sig w:usb0="00000001" w:usb1="080E0000" w:usb2="00000000" w:usb3="00000000" w:csb0="00040000" w:csb1="00000000"/>
    <w:embedRegular r:id="rId4" w:fontKey="{AB4586B6-3D96-4C54-9B17-74643EBF467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10955">
    <w:pPr>
      <w:pStyle w:val="6"/>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B1F4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69CE64">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6BE1">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6A1AC">
                          <w:pPr>
                            <w:pStyle w:val="6"/>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24F6A1AC">
                    <w:pPr>
                      <w:pStyle w:val="6"/>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36388"/>
    <w:rsid w:val="008575DD"/>
    <w:rsid w:val="0209123D"/>
    <w:rsid w:val="02A32D53"/>
    <w:rsid w:val="03AE08A7"/>
    <w:rsid w:val="03FE37A3"/>
    <w:rsid w:val="0610226C"/>
    <w:rsid w:val="06212B1B"/>
    <w:rsid w:val="064F0DD5"/>
    <w:rsid w:val="06F14CC1"/>
    <w:rsid w:val="07375BAD"/>
    <w:rsid w:val="07F70F7A"/>
    <w:rsid w:val="0942511D"/>
    <w:rsid w:val="0A466107"/>
    <w:rsid w:val="0B3C4CDA"/>
    <w:rsid w:val="0CDD71F7"/>
    <w:rsid w:val="0D73111D"/>
    <w:rsid w:val="0D9378B6"/>
    <w:rsid w:val="0DA740BB"/>
    <w:rsid w:val="0DEA1BCB"/>
    <w:rsid w:val="0DF20A80"/>
    <w:rsid w:val="0E615A61"/>
    <w:rsid w:val="0F8A406F"/>
    <w:rsid w:val="107B2FAF"/>
    <w:rsid w:val="10C702B5"/>
    <w:rsid w:val="10E82981"/>
    <w:rsid w:val="11B36388"/>
    <w:rsid w:val="123748BD"/>
    <w:rsid w:val="13D9004A"/>
    <w:rsid w:val="13F54E26"/>
    <w:rsid w:val="1489065E"/>
    <w:rsid w:val="17895AAB"/>
    <w:rsid w:val="17A0154D"/>
    <w:rsid w:val="17A74251"/>
    <w:rsid w:val="17CC2342"/>
    <w:rsid w:val="17CE32DA"/>
    <w:rsid w:val="192D3605"/>
    <w:rsid w:val="193629DE"/>
    <w:rsid w:val="199B397C"/>
    <w:rsid w:val="19DB2D10"/>
    <w:rsid w:val="1A655A22"/>
    <w:rsid w:val="1AA8054F"/>
    <w:rsid w:val="1C1E25ED"/>
    <w:rsid w:val="1C7E2166"/>
    <w:rsid w:val="1D1F4CC2"/>
    <w:rsid w:val="1D930CFA"/>
    <w:rsid w:val="1DBA49EB"/>
    <w:rsid w:val="1DE60F35"/>
    <w:rsid w:val="1DF74CD6"/>
    <w:rsid w:val="1E62130A"/>
    <w:rsid w:val="1E827BFE"/>
    <w:rsid w:val="1F7532BF"/>
    <w:rsid w:val="1FC61D6D"/>
    <w:rsid w:val="20B77427"/>
    <w:rsid w:val="21973B5F"/>
    <w:rsid w:val="21C65ACC"/>
    <w:rsid w:val="2267494E"/>
    <w:rsid w:val="23B20354"/>
    <w:rsid w:val="23D56A81"/>
    <w:rsid w:val="24AA2793"/>
    <w:rsid w:val="24C93B89"/>
    <w:rsid w:val="265E4AAD"/>
    <w:rsid w:val="285A5756"/>
    <w:rsid w:val="28615EB6"/>
    <w:rsid w:val="286839C1"/>
    <w:rsid w:val="28867B77"/>
    <w:rsid w:val="2909285F"/>
    <w:rsid w:val="290A15EB"/>
    <w:rsid w:val="29217182"/>
    <w:rsid w:val="2948435D"/>
    <w:rsid w:val="29DD51BA"/>
    <w:rsid w:val="29FC5D73"/>
    <w:rsid w:val="2A2544BE"/>
    <w:rsid w:val="2B522706"/>
    <w:rsid w:val="2B5841C1"/>
    <w:rsid w:val="2C562259"/>
    <w:rsid w:val="2C8D7E9A"/>
    <w:rsid w:val="2E5A6C69"/>
    <w:rsid w:val="2E5C55A3"/>
    <w:rsid w:val="2E693FEF"/>
    <w:rsid w:val="2F29724E"/>
    <w:rsid w:val="30F11BA8"/>
    <w:rsid w:val="31456F95"/>
    <w:rsid w:val="319D7376"/>
    <w:rsid w:val="31B77F20"/>
    <w:rsid w:val="32496F8F"/>
    <w:rsid w:val="32B067E5"/>
    <w:rsid w:val="34FB796B"/>
    <w:rsid w:val="35074561"/>
    <w:rsid w:val="355D6A34"/>
    <w:rsid w:val="35726753"/>
    <w:rsid w:val="35B90996"/>
    <w:rsid w:val="360C5E39"/>
    <w:rsid w:val="373741BF"/>
    <w:rsid w:val="37A60F28"/>
    <w:rsid w:val="383218F5"/>
    <w:rsid w:val="3A3A5696"/>
    <w:rsid w:val="3A72247D"/>
    <w:rsid w:val="3B485E21"/>
    <w:rsid w:val="3C047A4D"/>
    <w:rsid w:val="3CAB3445"/>
    <w:rsid w:val="3CFE449C"/>
    <w:rsid w:val="3E287A22"/>
    <w:rsid w:val="3E301F1F"/>
    <w:rsid w:val="3EF01E51"/>
    <w:rsid w:val="3F2C1314"/>
    <w:rsid w:val="41596145"/>
    <w:rsid w:val="418932E2"/>
    <w:rsid w:val="4517434D"/>
    <w:rsid w:val="4577303D"/>
    <w:rsid w:val="457C2431"/>
    <w:rsid w:val="45A07453"/>
    <w:rsid w:val="48AF2AEE"/>
    <w:rsid w:val="4D6C7200"/>
    <w:rsid w:val="4D6F1F02"/>
    <w:rsid w:val="4EE47996"/>
    <w:rsid w:val="4F1A4144"/>
    <w:rsid w:val="4F4C553B"/>
    <w:rsid w:val="5066262C"/>
    <w:rsid w:val="51AF1521"/>
    <w:rsid w:val="526343B5"/>
    <w:rsid w:val="53956627"/>
    <w:rsid w:val="53B0534E"/>
    <w:rsid w:val="540D550D"/>
    <w:rsid w:val="549E05E7"/>
    <w:rsid w:val="560A791F"/>
    <w:rsid w:val="560E683E"/>
    <w:rsid w:val="563838FB"/>
    <w:rsid w:val="56A95021"/>
    <w:rsid w:val="56D046D5"/>
    <w:rsid w:val="58EC2A74"/>
    <w:rsid w:val="59F36CDF"/>
    <w:rsid w:val="5A306F60"/>
    <w:rsid w:val="5AC82B3C"/>
    <w:rsid w:val="5AD16135"/>
    <w:rsid w:val="5B3812E5"/>
    <w:rsid w:val="5BFB6244"/>
    <w:rsid w:val="5D545EF0"/>
    <w:rsid w:val="5E113BD7"/>
    <w:rsid w:val="5EEB1091"/>
    <w:rsid w:val="5FB75393"/>
    <w:rsid w:val="6031687D"/>
    <w:rsid w:val="60BD3BA3"/>
    <w:rsid w:val="62E6103D"/>
    <w:rsid w:val="635C309D"/>
    <w:rsid w:val="6377272F"/>
    <w:rsid w:val="642F125B"/>
    <w:rsid w:val="65313433"/>
    <w:rsid w:val="65A92D3E"/>
    <w:rsid w:val="66B03212"/>
    <w:rsid w:val="683E4A4B"/>
    <w:rsid w:val="693955E5"/>
    <w:rsid w:val="6A582B8E"/>
    <w:rsid w:val="6AA51EBB"/>
    <w:rsid w:val="6B86196A"/>
    <w:rsid w:val="6C436CC4"/>
    <w:rsid w:val="6EEA4353"/>
    <w:rsid w:val="70E707C8"/>
    <w:rsid w:val="722E0369"/>
    <w:rsid w:val="73F8480A"/>
    <w:rsid w:val="7427583B"/>
    <w:rsid w:val="768371E5"/>
    <w:rsid w:val="775748F9"/>
    <w:rsid w:val="784E18CA"/>
    <w:rsid w:val="7876107B"/>
    <w:rsid w:val="788B412F"/>
    <w:rsid w:val="79830A68"/>
    <w:rsid w:val="79FD57A8"/>
    <w:rsid w:val="7B202255"/>
    <w:rsid w:val="7B231D2F"/>
    <w:rsid w:val="7BB3231A"/>
    <w:rsid w:val="7C201B9C"/>
    <w:rsid w:val="7CDA16A7"/>
    <w:rsid w:val="7D4C0330"/>
    <w:rsid w:val="7DAC5273"/>
    <w:rsid w:val="7E5F5463"/>
    <w:rsid w:val="7F874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line="560" w:lineRule="exact"/>
      <w:jc w:val="left"/>
      <w:outlineLvl w:val="0"/>
    </w:pPr>
    <w:rPr>
      <w:rFonts w:hint="eastAsia" w:ascii="宋体" w:hAnsi="宋体" w:eastAsia="黑体" w:cs="宋体"/>
      <w:b/>
      <w:bCs/>
      <w:kern w:val="44"/>
      <w:sz w:val="32"/>
      <w:szCs w:val="48"/>
      <w:lang w:bidi="ar"/>
    </w:rPr>
  </w:style>
  <w:style w:type="paragraph" w:styleId="3">
    <w:name w:val="heading 2"/>
    <w:basedOn w:val="1"/>
    <w:next w:val="1"/>
    <w:unhideWhenUsed/>
    <w:qFormat/>
    <w:uiPriority w:val="0"/>
    <w:pPr>
      <w:spacing w:before="0" w:beforeAutospacing="1" w:after="0" w:afterAutospacing="1" w:line="560" w:lineRule="exact"/>
      <w:jc w:val="left"/>
      <w:outlineLvl w:val="1"/>
    </w:pPr>
    <w:rPr>
      <w:rFonts w:hint="eastAsia" w:ascii="宋体" w:hAnsi="宋体" w:eastAsia="楷体_GB2312" w:cs="宋体"/>
      <w:b/>
      <w:bCs/>
      <w:kern w:val="0"/>
      <w:sz w:val="32"/>
      <w:szCs w:val="36"/>
      <w:lang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rFonts w:asciiTheme="minorHAnsi" w:hAnsiTheme="minorHAnsi" w:eastAsiaTheme="minorEastAsia" w:cstheme="minorBidi"/>
      <w:sz w:val="24"/>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sectNamePr val="招投标文件1"/>
      <sectRole val="1"/>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15f4da50-4f34-4de1-a4e9-f43c7f72912c</errorID>
      <errorWord>研究新情况解决新问题</errorWord>
      <group>L1_Political</group>
      <groupName>政治性问题</groupName>
      <ability>L2_Keyword</ability>
      <abilityName>固定表述</abilityName>
      <candidateList>
        <item>研究新情况、解决新问题</item>
      </candidateList>
      <explain>注意检查当前固定表述标点是否使用规范。</explain>
      <paraID>2834EDB6</paraID>
      <start>25</start>
      <end>35</end>
      <status>unmodified</status>
      <modifiedWord/>
      <trackRevisions>false</trackRevisions>
    </reviewItem>
    <reviewItem>
      <errorID>4d25fd09-1c60-4dae-afd7-62136e398527</errorID>
      <errorWord>科技创新与产业创新融合</errorWord>
      <group>L1_Political</group>
      <groupName>政治性问题</groupName>
      <ability>L2_Keyword</ability>
      <abilityName>固定表述</abilityName>
      <candidateList>
        <item>科技创新与产业创新深度融合</item>
      </candidateList>
      <explain>词汇“科技创新与产业创新深度融合”在特定场景下为固定表述形式，请确认此处的“科技创新与产业创新融合”是否存在不当。</explain>
      <paraID>11361C06</paraID>
      <start>55</start>
      <end>66</end>
      <status>unmodified</status>
      <modifiedWord/>
      <trackRevisions>false</trackRevisions>
    </reviewItem>
    <reviewItem>
      <errorID>f290f532-3141-40e9-950e-6662bc8096e5</errorID>
      <errorWord>发言</errorWord>
      <group>L1_AI</group>
      <groupName>深度校对</groupName>
      <ability>L2_AI_Word</ability>
      <abilityName>字词纠错</abilityName>
      <candidateList>
        <item>讲话</item>
      </candidateList>
      <explain/>
      <paraID>2CE989C8</paraID>
      <start>14</start>
      <end>16</end>
      <status>unmodified</status>
      <modifiedWord/>
      <trackRevisions>false</trackRevisions>
    </reviewItem>
    <reviewItem>
      <errorID>fa64d58b-9172-41aa-a3ee-fda91bb9e3d4</errorID>
      <errorWord>2026年03月06日</errorWord>
      <group>L1_Knowledge</group>
      <groupName>知识性问题</groupName>
      <ability>L2_Time</ability>
      <abilityName>日期时间</abilityName>
      <candidateList>
        <item>2026年3月6日</item>
      </candidateList>
      <explain>根据日常书写习惯，月份和日期一般会省略前导零。</explain>
      <paraID>3AA92965</paraID>
      <start>10</start>
      <end>21</end>
      <status>unmodified</status>
      <modifiedWord/>
      <trackRevisions>false</trackRevisions>
    </reviewItem>
    <reviewItem>
      <errorID>e47f1744-2908-4bc6-b842-23e3509e0bdc</errorID>
      <errorWord>台湾地区</errorWord>
      <group>L1_Word</group>
      <groupName>字词问题</groupName>
      <ability>L2_Typo</ability>
      <abilityName>字词错误</abilityName>
      <candidateList>
        <item>中国台湾地区</item>
      </candidateList>
      <explain/>
      <paraID>6787514E</paraID>
      <start>78</start>
      <end>82</end>
      <status>unmodified</status>
      <modifiedWord/>
      <trackRevisions>false</trackRevisions>
    </reviewItem>
    <reviewItem>
      <errorID>6699b101-0f67-492c-ac35-fccc9f16f367</errorID>
      <errorWord>，</errorWord>
      <group>L1_AI</group>
      <groupName>深度校对</groupName>
      <ability>L2_AI_Grammar</ability>
      <abilityName>语法纠错</abilityName>
      <candidateList>
        <item>致以诚挚问候，</item>
      </candidateList>
      <explain/>
      <paraID> 4AC7C4B</paraID>
      <start>97</start>
      <end>98</end>
      <status>unmodified</status>
      <modifiedWord/>
      <trackRevisions>false</trackRevisions>
    </reviewItem>
    <reviewItem>
      <errorID>7b44c9d4-8ddc-4115-b732-46a0b9310673</errorID>
      <errorWord>加以</errorWord>
      <group>L1_Grammar</group>
      <groupName>语法问题</groupName>
      <ability>L2_Grammar</ability>
      <abilityName>语法错误</abilityName>
      <candidateList>
        <item>予以</item>
      </candidateList>
      <explain>“加以～推动”搭配不当，建议修改为“予以～推动”。</explain>
      <paraID>7FBEEA7B</paraID>
      <start>120</start>
      <end>122</end>
      <status>unmodified</status>
      <modifiedWord/>
      <trackRevisions>false</trackRevisions>
    </reviewItem>
    <reviewItem>
      <errorID>00c5da48-9c5f-41c0-a09f-c0a3be172a96</errorID>
      <errorWord>2026年03月07日</errorWord>
      <group>L1_Knowledge</group>
      <groupName>知识性问题</groupName>
      <ability>L2_Time</ability>
      <abilityName>日期时间</abilityName>
      <candidateList>
        <item>2026年3月7日</item>
      </candidateList>
      <explain>根据日常书写习惯，月份和日期一般会省略前导零。</explain>
      <paraID>63DE28EC</paraID>
      <start>10</start>
      <end>21</end>
      <status>unmodified</status>
      <modifiedWord/>
      <trackRevisions>false</trackRevisions>
    </reviewItem>
    <reviewItem>
      <errorID>7adf40c2-ff4b-4ea0-9b28-c905a8a686c1</errorID>
      <errorWord> </errorWord>
      <group>L1_AI</group>
      <groupName>深度校对</groupName>
      <ability>L2_AI_Punc</ability>
      <abilityName>标点纠错</abilityName>
      <candidateList>
        <item>，</item>
      </candidateList>
      <explain/>
      <paraID>693701CC</paraID>
      <start>26</start>
      <end>27</end>
      <status>unmodified</status>
      <modifiedWord/>
      <trackRevisions>false</trackRevisions>
    </reviewItem>
    <reviewItem>
      <errorID>08223ceb-e4df-4fa6-ba00-cb77c52de900</errorID>
      <errorWord> </errorWord>
      <group>L1_AI</group>
      <groupName>深度校对</groupName>
      <ability>L2_AI_Punc</ability>
      <abilityName>标点纠错</abilityName>
      <candidateList>
        <item>，</item>
      </candidateList>
      <explain/>
      <paraID>693701CC</paraID>
      <start>39</start>
      <end>40</end>
      <status>unmodified</status>
      <modifiedWord/>
      <trackRevisions>false</trackRevisions>
    </reviewItem>
    <reviewItem>
      <errorID>5e8f3560-dc25-459a-8d4d-25b7a09fffb5</errorID>
      <errorWord>主席张升民</errorWord>
      <group>L1_Political</group>
      <groupName>政治性问题</groupName>
      <ability>L2_Unpolitical</ability>
      <abilityName>政治敏感错误</abilityName>
      <candidateList/>
      <explain>无建议</explain>
      <paraID>7C69C252</paraID>
      <start>5</start>
      <end>10</end>
      <status>unmodified</status>
      <modifiedWord/>
      <trackRevisions>false</trackRevisions>
    </reviewItem>
    <reviewItem>
      <errorID>b39fe4dc-2f01-4f8e-8fb1-fce5ad9ddf55</errorID>
      <errorWord>2026年03月08日</errorWord>
      <group>L1_Knowledge</group>
      <groupName>知识性问题</groupName>
      <ability>L2_Time</ability>
      <abilityName>日期时间</abilityName>
      <candidateList>
        <item>2026年3月8日</item>
      </candidateList>
      <explain>根据日常书写习惯，月份和日期一般会省略前导零。</explain>
      <paraID>45E15455</paraID>
      <start>10</start>
      <end>21</end>
      <status>unmodified</status>
      <modifiedWord/>
      <trackRevisions>false</trackRevisions>
    </reviewItem>
    <reviewItem>
      <errorID>f9c8cdd5-332d-422f-b551-7065b667a5fe</errorID>
      <errorWord>出版发行</errorWord>
      <group>L1_AI</group>
      <groupName>深度校对</groupName>
      <ability>L2_AI_Punc</ability>
      <abilityName>标点纠错</abilityName>
      <candidateList>
        <item>出版发行。</item>
      </candidateList>
      <explain/>
      <paraID>70FEE6F8</paraID>
      <start>15</start>
      <end>19</end>
      <status>unmodified</status>
      <modifiedWord/>
      <trackRevisions>false</trackRevisions>
    </reviewItem>
    <reviewItem>
      <errorID>4efd5a22-ce64-48cb-9d61-f7655257ac64</errorID>
      <errorWord>展现</errorWord>
      <group>L1_AI</group>
      <groupName>深度校对</groupName>
      <ability>L2_AI_Word</ability>
      <abilityName>字词纠错</abilityName>
      <candidateList>
        <item>地展现</item>
      </candidateList>
      <explain/>
      <paraID>2B116EF9</paraID>
      <start>55</start>
      <end>57</end>
      <status>unmodified</status>
      <modifiedWord/>
      <trackRevisions>false</trackRevisions>
    </reviewItem>
    <reviewItem>
      <errorID>2c96b91f-2433-4a2e-887d-7e0d3b6aaa40</errorID>
      <errorWord>用以</errorWord>
      <group>L1_AI</group>
      <groupName>深度校对</groupName>
      <ability>L2_AI_Word</ability>
      <abilityName>字词纠错</abilityName>
      <candidateList>
        <item>地用以</item>
      </candidateList>
      <explain/>
      <paraID>2B116EF9</paraID>
      <start>121</start>
      <end>123</end>
      <status>unmodified</status>
      <modifiedWord/>
      <trackRevisions>false</trackRevisions>
    </reviewItem>
    <reviewItem>
      <errorID>ddd33bc5-8816-471c-9e99-2baff043c757</errorID>
      <errorWord>2026年03月04日</errorWord>
      <group>L1_Knowledge</group>
      <groupName>知识性问题</groupName>
      <ability>L2_Time</ability>
      <abilityName>日期时间</abilityName>
      <candidateList>
        <item>2026年3月4日</item>
      </candidateList>
      <explain>根据日常书写习惯，月份和日期一般会省略前导零。</explain>
      <paraID>3B791565</paraID>
      <start>10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a04c9-8c9e-42de-b13a-9fa5830120b0}">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5476</Words>
  <Characters>5567</Characters>
  <Lines>0</Lines>
  <Paragraphs>0</Paragraphs>
  <TotalTime>0</TotalTime>
  <ScaleCrop>false</ScaleCrop>
  <LinksUpToDate>false</LinksUpToDate>
  <CharactersWithSpaces>5604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2025-09-04T00:10:00Z</dcterms:created>
  <dc:creator>dell</dc:creator>
  <cp:lastModifiedBy>HWY</cp:lastModifiedBy>
  <dcterms:modified xsi:type="dcterms:W3CDTF">2026-06-17T08:52:13Z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eyJoZGlkIjoiZDQ3YmI1OGRkZjIwN2YxODZkNTljZDMwYTU1ZWQ2MjAiLCJ1c2VySWQiOiIzODUyMzIxNTEifQ==</vt:lpwstr>
  </property>
  <property fmtid="{D5CDD505-2E9C-101B-9397-08002B2CF9AE}" pid="4" name="ICV">
    <vt:lpwstr>4331BB6DBA6D4BB78744C6F4583C68B6_13</vt:lpwstr>
  </property>
</Properties>
</file>